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color w:val="auto"/>
          <w:sz w:val="28"/>
          <w:szCs w:val="28"/>
        </w:rPr>
      </w:pPr>
      <w:r>
        <w:rPr>
          <w:rFonts w:hint="eastAsia" w:ascii="宋体" w:hAnsi="宋体" w:cs="宋体"/>
          <w:b/>
          <w:color w:val="auto"/>
          <w:sz w:val="28"/>
          <w:szCs w:val="28"/>
        </w:rPr>
        <w:t>附表一</w:t>
      </w:r>
    </w:p>
    <w:p>
      <w:pPr>
        <w:pStyle w:val="2"/>
        <w:ind w:firstLine="0"/>
        <w:jc w:val="center"/>
        <w:rPr>
          <w:rFonts w:cs="仿宋"/>
          <w:b/>
          <w:bCs/>
          <w:color w:val="auto"/>
          <w:sz w:val="32"/>
          <w:szCs w:val="32"/>
        </w:rPr>
      </w:pPr>
      <w:r>
        <w:rPr>
          <w:rFonts w:hint="eastAsia" w:cs="仿宋"/>
          <w:b/>
          <w:bCs/>
          <w:color w:val="auto"/>
          <w:sz w:val="32"/>
          <w:szCs w:val="32"/>
        </w:rPr>
        <w:t>G4216线宜金高速公路XJ17-5、ZX2-5分段</w:t>
      </w:r>
      <w:r>
        <w:rPr>
          <w:rFonts w:hint="eastAsia" w:ascii="宋体" w:hAnsi="宋体" w:cs="宋体"/>
          <w:b/>
          <w:bCs/>
          <w:color w:val="auto"/>
          <w:sz w:val="32"/>
          <w:szCs w:val="32"/>
        </w:rPr>
        <w:t>临建工程劳务合作</w:t>
      </w:r>
    </w:p>
    <w:p>
      <w:pPr>
        <w:pStyle w:val="2"/>
        <w:jc w:val="center"/>
        <w:rPr>
          <w:rFonts w:cs="仿宋"/>
          <w:b/>
          <w:bCs/>
          <w:color w:val="auto"/>
          <w:sz w:val="32"/>
          <w:szCs w:val="32"/>
        </w:rPr>
      </w:pPr>
      <w:r>
        <w:rPr>
          <w:rFonts w:hint="eastAsia" w:cs="仿宋"/>
          <w:b/>
          <w:bCs/>
          <w:color w:val="auto"/>
          <w:sz w:val="32"/>
          <w:szCs w:val="32"/>
        </w:rPr>
        <w:t>分段划分、工程规模、工期统计表</w:t>
      </w:r>
    </w:p>
    <w:p>
      <w:pPr>
        <w:pStyle w:val="2"/>
        <w:ind w:firstLine="0"/>
        <w:rPr>
          <w:rFonts w:cs="仿宋"/>
          <w:b/>
          <w:bCs/>
          <w:color w:val="auto"/>
          <w:sz w:val="32"/>
          <w:szCs w:val="32"/>
          <w:highlight w:val="yellow"/>
        </w:rPr>
      </w:pPr>
    </w:p>
    <w:tbl>
      <w:tblPr>
        <w:tblStyle w:val="5"/>
        <w:tblW w:w="14077" w:type="dxa"/>
        <w:tblInd w:w="0" w:type="dxa"/>
        <w:tblLayout w:type="fixed"/>
        <w:tblCellMar>
          <w:top w:w="0" w:type="dxa"/>
          <w:left w:w="0" w:type="dxa"/>
          <w:bottom w:w="0" w:type="dxa"/>
          <w:right w:w="0" w:type="dxa"/>
        </w:tblCellMar>
      </w:tblPr>
      <w:tblGrid>
        <w:gridCol w:w="1038"/>
        <w:gridCol w:w="1080"/>
        <w:gridCol w:w="2353"/>
        <w:gridCol w:w="7594"/>
        <w:gridCol w:w="2012"/>
      </w:tblGrid>
      <w:tr>
        <w:tblPrEx>
          <w:tblLayout w:type="fixed"/>
          <w:tblCellMar>
            <w:top w:w="0" w:type="dxa"/>
            <w:left w:w="0" w:type="dxa"/>
            <w:bottom w:w="0" w:type="dxa"/>
            <w:right w:w="0" w:type="dxa"/>
          </w:tblCellMar>
        </w:tblPrEx>
        <w:trPr>
          <w:trHeight w:val="1604" w:hRule="atLeast"/>
          <w:tblHeader/>
        </w:trPr>
        <w:tc>
          <w:tcPr>
            <w:tcW w:w="1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Cs w:val="21"/>
              </w:rPr>
            </w:pPr>
            <w:r>
              <w:rPr>
                <w:rFonts w:hint="eastAsia" w:ascii="宋体" w:hAnsi="宋体" w:cs="宋体"/>
                <w:color w:val="auto"/>
                <w:kern w:val="0"/>
                <w:szCs w:val="21"/>
              </w:rPr>
              <w:t>序号</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rPr>
            </w:pPr>
            <w:r>
              <w:rPr>
                <w:rFonts w:hint="eastAsia" w:ascii="宋体" w:hAnsi="宋体" w:cs="宋体"/>
                <w:color w:val="auto"/>
                <w:kern w:val="0"/>
                <w:szCs w:val="21"/>
              </w:rPr>
              <w:t>分段</w:t>
            </w:r>
          </w:p>
          <w:p>
            <w:pPr>
              <w:widowControl/>
              <w:tabs>
                <w:tab w:val="left" w:pos="416"/>
              </w:tabs>
              <w:jc w:val="center"/>
              <w:textAlignment w:val="center"/>
              <w:rPr>
                <w:rFonts w:ascii="宋体" w:hAnsi="宋体" w:cs="宋体"/>
                <w:color w:val="auto"/>
                <w:szCs w:val="21"/>
              </w:rPr>
            </w:pPr>
            <w:r>
              <w:rPr>
                <w:rFonts w:hint="eastAsia" w:ascii="宋体" w:hAnsi="宋体" w:cs="宋体"/>
                <w:color w:val="auto"/>
                <w:kern w:val="0"/>
                <w:szCs w:val="21"/>
              </w:rPr>
              <w:t>名称</w:t>
            </w:r>
          </w:p>
        </w:tc>
        <w:tc>
          <w:tcPr>
            <w:tcW w:w="2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Cs w:val="21"/>
              </w:rPr>
            </w:pPr>
            <w:r>
              <w:rPr>
                <w:rFonts w:hint="eastAsia" w:ascii="宋体" w:hAnsi="宋体" w:cs="宋体"/>
                <w:color w:val="auto"/>
                <w:kern w:val="0"/>
                <w:szCs w:val="21"/>
              </w:rPr>
              <w:t>主要协作内容</w:t>
            </w:r>
          </w:p>
        </w:tc>
        <w:tc>
          <w:tcPr>
            <w:tcW w:w="75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Cs w:val="21"/>
              </w:rPr>
            </w:pPr>
            <w:r>
              <w:rPr>
                <w:rFonts w:hint="eastAsia" w:ascii="宋体" w:hAnsi="宋体" w:cs="宋体"/>
                <w:color w:val="auto"/>
                <w:kern w:val="0"/>
                <w:szCs w:val="21"/>
              </w:rPr>
              <w:t>工作内容</w:t>
            </w:r>
          </w:p>
        </w:tc>
        <w:tc>
          <w:tcPr>
            <w:tcW w:w="20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Cs w:val="21"/>
              </w:rPr>
            </w:pPr>
            <w:r>
              <w:rPr>
                <w:rFonts w:hint="eastAsia" w:ascii="宋体" w:hAnsi="宋体" w:cs="宋体"/>
                <w:color w:val="auto"/>
                <w:kern w:val="0"/>
                <w:szCs w:val="21"/>
              </w:rPr>
              <w:t>工期</w:t>
            </w:r>
          </w:p>
        </w:tc>
      </w:tr>
      <w:tr>
        <w:tblPrEx>
          <w:tblLayout w:type="fixed"/>
          <w:tblCellMar>
            <w:top w:w="0" w:type="dxa"/>
            <w:left w:w="0" w:type="dxa"/>
            <w:bottom w:w="0" w:type="dxa"/>
            <w:right w:w="0" w:type="dxa"/>
          </w:tblCellMar>
        </w:tblPrEx>
        <w:trPr>
          <w:trHeight w:val="2440" w:hRule="atLeast"/>
        </w:trPr>
        <w:tc>
          <w:tcPr>
            <w:tcW w:w="1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color w:val="auto"/>
                <w:szCs w:val="21"/>
              </w:rPr>
            </w:pPr>
            <w:r>
              <w:rPr>
                <w:rFonts w:hint="eastAsia"/>
                <w:color w:val="auto"/>
                <w:szCs w:val="21"/>
              </w:rPr>
              <w:t>XJ17-5</w:t>
            </w:r>
          </w:p>
        </w:tc>
        <w:tc>
          <w:tcPr>
            <w:tcW w:w="2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color w:val="auto"/>
                <w:szCs w:val="21"/>
              </w:rPr>
            </w:pPr>
            <w:r>
              <w:rPr>
                <w:rFonts w:hint="eastAsia" w:ascii="宋体" w:hAnsi="宋体" w:cs="宋体"/>
                <w:color w:val="auto"/>
                <w:szCs w:val="21"/>
              </w:rPr>
              <w:t>临建工程</w:t>
            </w:r>
          </w:p>
        </w:tc>
        <w:tc>
          <w:tcPr>
            <w:tcW w:w="75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szCs w:val="21"/>
              </w:rPr>
              <w:t>标准</w:t>
            </w:r>
            <w:r>
              <w:rPr>
                <w:rFonts w:ascii="宋体" w:hAnsi="宋体" w:cs="宋体"/>
                <w:color w:val="auto"/>
                <w:szCs w:val="21"/>
              </w:rPr>
              <w:t>化钢筋场</w:t>
            </w:r>
            <w:r>
              <w:rPr>
                <w:rFonts w:hint="eastAsia" w:ascii="宋体" w:hAnsi="宋体" w:cs="宋体"/>
                <w:color w:val="auto"/>
                <w:szCs w:val="21"/>
              </w:rPr>
              <w:t>、拌和站、项目驻地装修改建等临建的土建工程相关的一切工作，具体内容详见招标清单</w:t>
            </w:r>
          </w:p>
        </w:tc>
        <w:tc>
          <w:tcPr>
            <w:tcW w:w="20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60天</w:t>
            </w:r>
          </w:p>
          <w:p>
            <w:pPr>
              <w:widowControl/>
              <w:jc w:val="center"/>
              <w:textAlignment w:val="center"/>
              <w:rPr>
                <w:rFonts w:ascii="宋体" w:hAnsi="宋体" w:cs="宋体"/>
                <w:color w:val="auto"/>
                <w:kern w:val="0"/>
                <w:szCs w:val="21"/>
                <w:highlight w:val="yellow"/>
              </w:rPr>
            </w:pPr>
            <w:r>
              <w:rPr>
                <w:rFonts w:hint="eastAsia" w:ascii="宋体" w:hAnsi="宋体" w:cs="宋体"/>
                <w:color w:val="auto"/>
                <w:kern w:val="0"/>
                <w:szCs w:val="21"/>
              </w:rPr>
              <w:t>（60天为总工期，分阶段实施）</w:t>
            </w:r>
          </w:p>
        </w:tc>
      </w:tr>
      <w:tr>
        <w:tblPrEx>
          <w:tblLayout w:type="fixed"/>
          <w:tblCellMar>
            <w:top w:w="0" w:type="dxa"/>
            <w:left w:w="0" w:type="dxa"/>
            <w:bottom w:w="0" w:type="dxa"/>
            <w:right w:w="0" w:type="dxa"/>
          </w:tblCellMar>
        </w:tblPrEx>
        <w:trPr>
          <w:trHeight w:val="2440" w:hRule="atLeast"/>
        </w:trPr>
        <w:tc>
          <w:tcPr>
            <w:tcW w:w="1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rPr>
            </w:pPr>
            <w:bookmarkStart w:id="0" w:name="_Toc20280_WPSOffice_Level1"/>
            <w:bookmarkStart w:id="1" w:name="_Toc22287"/>
            <w:r>
              <w:rPr>
                <w:rFonts w:hint="eastAsia" w:ascii="宋体" w:hAnsi="宋体" w:cs="宋体"/>
                <w:color w:val="auto"/>
                <w:kern w:val="0"/>
                <w:szCs w:val="21"/>
              </w:rPr>
              <w:t>2</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Cs w:val="21"/>
              </w:rPr>
            </w:pPr>
            <w:r>
              <w:rPr>
                <w:rFonts w:hint="eastAsia"/>
                <w:color w:val="auto"/>
                <w:szCs w:val="21"/>
              </w:rPr>
              <w:t>ZX2-5</w:t>
            </w:r>
          </w:p>
        </w:tc>
        <w:tc>
          <w:tcPr>
            <w:tcW w:w="2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临建工程</w:t>
            </w:r>
          </w:p>
        </w:tc>
        <w:tc>
          <w:tcPr>
            <w:tcW w:w="75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color w:val="auto"/>
                <w:szCs w:val="21"/>
              </w:rPr>
              <w:t>标准化建设，包括土石方工程、场地硬化、防护工程、办公楼装修、拌合站钢筋加工场土建工程等与本项目临建工程施工相关的一切工作</w:t>
            </w:r>
            <w:r>
              <w:rPr>
                <w:rFonts w:hint="eastAsia" w:ascii="宋体" w:hAnsi="宋体" w:cs="宋体"/>
                <w:color w:val="auto"/>
                <w:kern w:val="0"/>
                <w:szCs w:val="21"/>
              </w:rPr>
              <w:t>具体，内容详见招标清单。</w:t>
            </w:r>
          </w:p>
        </w:tc>
        <w:tc>
          <w:tcPr>
            <w:tcW w:w="20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30天</w:t>
            </w:r>
          </w:p>
        </w:tc>
      </w:tr>
    </w:tbl>
    <w:p>
      <w:pPr>
        <w:pStyle w:val="2"/>
        <w:ind w:firstLine="0"/>
        <w:jc w:val="left"/>
        <w:rPr>
          <w:rFonts w:ascii="宋体" w:hAnsi="宋体" w:eastAsia="宋体" w:cs="宋体"/>
          <w:b/>
          <w:color w:val="auto"/>
          <w:sz w:val="28"/>
          <w:szCs w:val="28"/>
        </w:rPr>
      </w:pPr>
    </w:p>
    <w:p>
      <w:pPr>
        <w:pStyle w:val="2"/>
        <w:jc w:val="left"/>
        <w:rPr>
          <w:rFonts w:ascii="宋体" w:hAnsi="宋体" w:eastAsia="宋体" w:cs="宋体"/>
          <w:b/>
          <w:color w:val="auto"/>
          <w:sz w:val="28"/>
          <w:szCs w:val="28"/>
        </w:rPr>
      </w:pPr>
    </w:p>
    <w:p>
      <w:pPr>
        <w:pStyle w:val="2"/>
        <w:jc w:val="left"/>
        <w:rPr>
          <w:rFonts w:ascii="宋体" w:hAnsi="宋体" w:eastAsia="宋体" w:cs="宋体"/>
          <w:b/>
          <w:color w:val="auto"/>
          <w:sz w:val="28"/>
          <w:szCs w:val="28"/>
        </w:rPr>
      </w:pPr>
      <w:r>
        <w:rPr>
          <w:rFonts w:hint="eastAsia" w:ascii="宋体" w:hAnsi="宋体" w:eastAsia="宋体" w:cs="宋体"/>
          <w:b/>
          <w:color w:val="auto"/>
          <w:sz w:val="28"/>
          <w:szCs w:val="28"/>
        </w:rPr>
        <w:t>附表二</w:t>
      </w:r>
    </w:p>
    <w:p>
      <w:pPr>
        <w:pStyle w:val="2"/>
        <w:ind w:firstLine="0"/>
        <w:jc w:val="center"/>
        <w:rPr>
          <w:rFonts w:cs="仿宋"/>
          <w:b/>
          <w:bCs/>
          <w:color w:val="auto"/>
          <w:sz w:val="32"/>
          <w:szCs w:val="32"/>
        </w:rPr>
      </w:pPr>
    </w:p>
    <w:p>
      <w:pPr>
        <w:pStyle w:val="2"/>
        <w:ind w:firstLine="0"/>
        <w:jc w:val="center"/>
        <w:rPr>
          <w:rFonts w:ascii="宋体" w:hAnsi="宋体" w:cs="宋体"/>
          <w:b/>
          <w:bCs/>
          <w:color w:val="auto"/>
          <w:sz w:val="32"/>
          <w:szCs w:val="32"/>
        </w:rPr>
      </w:pPr>
      <w:r>
        <w:rPr>
          <w:rFonts w:hint="eastAsia" w:cs="仿宋"/>
          <w:b/>
          <w:bCs/>
          <w:color w:val="auto"/>
          <w:sz w:val="32"/>
          <w:szCs w:val="32"/>
        </w:rPr>
        <w:t>G4216线宜金高速公路XJ17-5、ZX2-5分段</w:t>
      </w:r>
      <w:r>
        <w:rPr>
          <w:rFonts w:hint="eastAsia" w:ascii="宋体" w:hAnsi="宋体" w:cs="宋体"/>
          <w:b/>
          <w:bCs/>
          <w:color w:val="auto"/>
          <w:sz w:val="32"/>
          <w:szCs w:val="32"/>
        </w:rPr>
        <w:t>临建工程劳务合作</w:t>
      </w:r>
    </w:p>
    <w:p>
      <w:pPr>
        <w:pStyle w:val="2"/>
        <w:ind w:firstLine="0"/>
        <w:jc w:val="center"/>
        <w:rPr>
          <w:rFonts w:cs="仿宋"/>
          <w:b/>
          <w:bCs/>
          <w:color w:val="auto"/>
          <w:sz w:val="32"/>
          <w:szCs w:val="32"/>
        </w:rPr>
      </w:pPr>
      <w:r>
        <w:rPr>
          <w:rFonts w:hint="eastAsia" w:cs="仿宋"/>
          <w:b/>
          <w:bCs/>
          <w:color w:val="auto"/>
          <w:sz w:val="32"/>
          <w:szCs w:val="32"/>
        </w:rPr>
        <w:t>施工企业资质等级要求、业绩基本要求</w:t>
      </w:r>
    </w:p>
    <w:p>
      <w:pPr>
        <w:pStyle w:val="2"/>
        <w:ind w:firstLine="0"/>
        <w:jc w:val="center"/>
        <w:rPr>
          <w:rFonts w:cs="仿宋"/>
          <w:b/>
          <w:bCs/>
          <w:color w:val="auto"/>
          <w:sz w:val="32"/>
          <w:szCs w:val="32"/>
        </w:rPr>
      </w:pPr>
    </w:p>
    <w:tbl>
      <w:tblPr>
        <w:tblStyle w:val="5"/>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blPrEx>
          <w:tblLayout w:type="fixed"/>
          <w:tblCellMar>
            <w:top w:w="0" w:type="dxa"/>
            <w:left w:w="0" w:type="dxa"/>
            <w:bottom w:w="0" w:type="dxa"/>
            <w:right w:w="0" w:type="dxa"/>
          </w:tblCellMar>
        </w:tblPrEx>
        <w:trPr>
          <w:trHeight w:val="865"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rPr>
            </w:pPr>
            <w:r>
              <w:rPr>
                <w:rFonts w:hint="eastAsia" w:ascii="宋体" w:hAnsi="宋体" w:eastAsia="宋体" w:cs="宋体"/>
                <w:color w:val="auto"/>
                <w:sz w:val="21"/>
                <w:szCs w:val="21"/>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6"/>
              <w:kinsoku w:val="0"/>
              <w:overflowPunct w:val="0"/>
              <w:spacing w:line="239" w:lineRule="exact"/>
              <w:ind w:left="426" w:right="344"/>
              <w:jc w:val="center"/>
              <w:rPr>
                <w:color w:val="auto"/>
                <w:szCs w:val="21"/>
              </w:rPr>
            </w:pPr>
            <w:r>
              <w:rPr>
                <w:rFonts w:hint="eastAsia"/>
                <w:color w:val="auto"/>
                <w:szCs w:val="21"/>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6"/>
              <w:widowControl/>
              <w:kinsoku w:val="0"/>
              <w:overflowPunct w:val="0"/>
              <w:spacing w:line="239" w:lineRule="exact"/>
              <w:ind w:left="426" w:right="344"/>
              <w:jc w:val="center"/>
              <w:textAlignment w:val="center"/>
              <w:rPr>
                <w:color w:val="auto"/>
                <w:szCs w:val="21"/>
              </w:rPr>
            </w:pPr>
            <w:r>
              <w:rPr>
                <w:rFonts w:hint="eastAsia"/>
                <w:color w:val="auto"/>
                <w:szCs w:val="21"/>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rPr>
            </w:pPr>
            <w:r>
              <w:rPr>
                <w:rFonts w:hint="eastAsia" w:ascii="宋体" w:hAnsi="宋体" w:eastAsia="宋体" w:cs="宋体"/>
                <w:color w:val="auto"/>
                <w:sz w:val="21"/>
                <w:szCs w:val="21"/>
              </w:rPr>
              <w:t>备注</w:t>
            </w:r>
          </w:p>
        </w:tc>
      </w:tr>
      <w:tr>
        <w:tblPrEx>
          <w:tblLayout w:type="fixed"/>
          <w:tblCellMar>
            <w:top w:w="0" w:type="dxa"/>
            <w:left w:w="0" w:type="dxa"/>
            <w:bottom w:w="0" w:type="dxa"/>
            <w:right w:w="0" w:type="dxa"/>
          </w:tblCellMar>
        </w:tblPrEx>
        <w:trPr>
          <w:trHeight w:val="1408"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color w:val="auto"/>
                <w:szCs w:val="21"/>
              </w:rPr>
              <w:t>XJ17-5</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临建</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color w:val="auto"/>
                <w:szCs w:val="21"/>
              </w:rPr>
            </w:pPr>
            <w:r>
              <w:rPr>
                <w:rFonts w:hint="eastAsia" w:ascii="宋体" w:hAnsi="宋体" w:cs="宋体"/>
                <w:color w:val="auto"/>
                <w:sz w:val="24"/>
                <w:szCs w:val="24"/>
              </w:rPr>
              <w:t>具有住房和城乡建设部颁发的建筑工程或公路工程施工总承包三级及以上资质或施工劳务资质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ascii="宋体" w:hAnsi="宋体" w:cs="宋体"/>
                <w:color w:val="auto"/>
                <w:kern w:val="0"/>
                <w:szCs w:val="21"/>
              </w:rPr>
              <w:t>5年内（2015年1月1日</w:t>
            </w:r>
            <w:r>
              <w:rPr>
                <w:rFonts w:hint="eastAsia" w:ascii="宋体" w:hAnsi="宋体" w:cs="宋体"/>
                <w:color w:val="auto"/>
                <w:kern w:val="0"/>
                <w:szCs w:val="21"/>
              </w:rPr>
              <w:t>）</w:t>
            </w:r>
            <w:r>
              <w:rPr>
                <w:rFonts w:hint="eastAsia" w:ascii="宋体" w:hAnsi="宋体" w:cs="宋体"/>
                <w:color w:val="auto"/>
                <w:szCs w:val="21"/>
              </w:rPr>
              <w:t>具有</w:t>
            </w:r>
            <w:r>
              <w:rPr>
                <w:rFonts w:ascii="宋体" w:hAnsi="宋体" w:cs="宋体"/>
                <w:color w:val="auto"/>
                <w:szCs w:val="21"/>
              </w:rPr>
              <w:t>1个</w:t>
            </w:r>
            <w:r>
              <w:rPr>
                <w:rFonts w:hint="eastAsia" w:ascii="宋体" w:hAnsi="宋体" w:cs="宋体"/>
                <w:color w:val="auto"/>
                <w:szCs w:val="21"/>
              </w:rPr>
              <w:t>以上类似高速公路临建工程施工业绩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1408"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2</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Cs w:val="21"/>
              </w:rPr>
            </w:pPr>
            <w:r>
              <w:rPr>
                <w:rFonts w:hint="eastAsia"/>
                <w:color w:val="auto"/>
                <w:szCs w:val="21"/>
              </w:rPr>
              <w:t>ZX2-5</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临建</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sz w:val="24"/>
                <w:szCs w:val="24"/>
              </w:rPr>
              <w:t>具有住房和城乡建设部颁发的施工劳务资质或公路工程施工总承包三级及以上资质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Cs w:val="21"/>
              </w:rPr>
            </w:pPr>
            <w:r>
              <w:rPr>
                <w:rFonts w:ascii="宋体" w:hAnsi="宋体" w:cs="宋体"/>
                <w:color w:val="auto"/>
                <w:kern w:val="0"/>
                <w:szCs w:val="21"/>
              </w:rPr>
              <w:t>5年内（2015年1月1日</w:t>
            </w:r>
            <w:r>
              <w:rPr>
                <w:rFonts w:hint="eastAsia" w:ascii="宋体" w:hAnsi="宋体" w:cs="宋体"/>
                <w:color w:val="auto"/>
                <w:kern w:val="0"/>
                <w:szCs w:val="21"/>
              </w:rPr>
              <w:t>）</w:t>
            </w:r>
            <w:r>
              <w:rPr>
                <w:rFonts w:hint="eastAsia" w:ascii="宋体" w:hAnsi="宋体" w:cs="宋体"/>
                <w:color w:val="auto"/>
                <w:szCs w:val="21"/>
              </w:rPr>
              <w:t>具有</w:t>
            </w:r>
            <w:r>
              <w:rPr>
                <w:rFonts w:ascii="宋体" w:hAnsi="宋体" w:cs="宋体"/>
                <w:color w:val="auto"/>
                <w:szCs w:val="21"/>
              </w:rPr>
              <w:t>1个</w:t>
            </w:r>
            <w:r>
              <w:rPr>
                <w:rFonts w:hint="eastAsia" w:ascii="宋体" w:hAnsi="宋体" w:cs="宋体"/>
                <w:color w:val="auto"/>
                <w:szCs w:val="21"/>
              </w:rPr>
              <w:t>以上类似高速公路临建工程施工业绩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rPr>
            </w:pPr>
          </w:p>
        </w:tc>
      </w:tr>
    </w:tbl>
    <w:p>
      <w:pPr>
        <w:pStyle w:val="2"/>
        <w:ind w:firstLine="0"/>
        <w:rPr>
          <w:rFonts w:cs="仿宋"/>
          <w:b/>
          <w:bCs/>
          <w:color w:val="auto"/>
          <w:sz w:val="32"/>
          <w:szCs w:val="32"/>
        </w:rPr>
      </w:pPr>
    </w:p>
    <w:p>
      <w:pPr>
        <w:pStyle w:val="7"/>
        <w:tabs>
          <w:tab w:val="right" w:leader="dot" w:pos="8306"/>
        </w:tabs>
        <w:jc w:val="center"/>
        <w:rPr>
          <w:rFonts w:ascii="等线" w:hAnsi="等线" w:eastAsia="等线" w:cs="等线"/>
          <w:b/>
          <w:bCs/>
          <w:color w:val="auto"/>
          <w:sz w:val="48"/>
          <w:szCs w:val="48"/>
          <w:lang w:bidi="zh-CN"/>
        </w:rPr>
        <w:sectPr>
          <w:pgSz w:w="16838" w:h="11911" w:orient="landscape"/>
          <w:pgMar w:top="1100" w:right="1599" w:bottom="1179" w:left="1298" w:header="0" w:footer="567" w:gutter="0"/>
          <w:cols w:space="720" w:num="1"/>
          <w:docGrid w:linePitch="1" w:charSpace="0"/>
        </w:sectPr>
      </w:pPr>
    </w:p>
    <w:p>
      <w:pPr>
        <w:pStyle w:val="2"/>
        <w:ind w:firstLine="0"/>
        <w:jc w:val="left"/>
        <w:rPr>
          <w:rFonts w:ascii="宋体" w:hAnsi="宋体" w:eastAsia="宋体" w:cs="宋体"/>
          <w:b/>
          <w:color w:val="auto"/>
          <w:sz w:val="28"/>
          <w:szCs w:val="28"/>
        </w:rPr>
      </w:pPr>
    </w:p>
    <w:p>
      <w:pPr>
        <w:pStyle w:val="2"/>
        <w:ind w:firstLine="0"/>
        <w:jc w:val="left"/>
        <w:rPr>
          <w:rFonts w:ascii="宋体" w:hAnsi="宋体" w:eastAsia="宋体" w:cs="宋体"/>
          <w:b/>
          <w:color w:val="auto"/>
          <w:sz w:val="28"/>
          <w:szCs w:val="28"/>
        </w:rPr>
      </w:pPr>
      <w:r>
        <w:rPr>
          <w:rFonts w:hint="eastAsia" w:ascii="宋体" w:hAnsi="宋体" w:eastAsia="宋体" w:cs="宋体"/>
          <w:b/>
          <w:color w:val="auto"/>
          <w:sz w:val="28"/>
          <w:szCs w:val="28"/>
        </w:rPr>
        <w:t>附表三</w:t>
      </w:r>
    </w:p>
    <w:p>
      <w:pPr>
        <w:pStyle w:val="2"/>
        <w:ind w:firstLine="0"/>
        <w:jc w:val="left"/>
        <w:rPr>
          <w:rFonts w:ascii="宋体" w:hAnsi="宋体" w:eastAsia="宋体" w:cs="宋体"/>
          <w:b/>
          <w:color w:val="auto"/>
          <w:sz w:val="28"/>
          <w:szCs w:val="28"/>
        </w:rPr>
      </w:pPr>
    </w:p>
    <w:tbl>
      <w:tblPr>
        <w:tblStyle w:val="5"/>
        <w:tblpPr w:leftFromText="180" w:rightFromText="180" w:vertAnchor="text" w:tblpXSpec="lef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color w:val="auto"/>
                <w:kern w:val="0"/>
                <w:sz w:val="28"/>
                <w:szCs w:val="28"/>
              </w:rPr>
            </w:pPr>
            <w:r>
              <w:rPr>
                <w:rFonts w:hint="eastAsia" w:ascii="仿宋" w:hAnsi="仿宋" w:eastAsia="仿宋" w:cs="仿宋"/>
                <w:b/>
                <w:bCs/>
                <w:color w:val="auto"/>
                <w:sz w:val="28"/>
                <w:szCs w:val="28"/>
              </w:rPr>
              <w:t>G4216线屏山新市至金阳高速公路</w:t>
            </w:r>
            <w:r>
              <w:rPr>
                <w:rFonts w:hint="default" w:ascii="仿宋" w:hAnsi="仿宋" w:eastAsia="仿宋" w:cs="仿宋"/>
                <w:b/>
                <w:bCs/>
                <w:color w:val="auto"/>
                <w:sz w:val="28"/>
                <w:szCs w:val="28"/>
                <w:lang w:val="en-US"/>
              </w:rPr>
              <w:t>XJ17-5</w:t>
            </w: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rPr>
              <w:t>ZX2-5分段项目临建工程劳务合作项目拟</w:t>
            </w:r>
            <w:r>
              <w:rPr>
                <w:rFonts w:hint="eastAsia" w:ascii="仿宋" w:hAnsi="仿宋" w:eastAsia="仿宋" w:cs="仿宋"/>
                <w:b/>
                <w:color w:val="auto"/>
                <w:kern w:val="0"/>
                <w:sz w:val="28"/>
                <w:szCs w:val="28"/>
              </w:rPr>
              <w:t>投入人员配置表(最低要求）</w:t>
            </w:r>
          </w:p>
          <w:p>
            <w:pPr>
              <w:widowControl/>
              <w:jc w:val="center"/>
              <w:textAlignment w:val="center"/>
              <w:rPr>
                <w:rFonts w:ascii="宋体" w:hAnsi="宋体" w:cs="宋体"/>
                <w:b/>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color w:val="auto"/>
                <w:szCs w:val="21"/>
              </w:rPr>
            </w:pPr>
            <w:r>
              <w:rPr>
                <w:rFonts w:hint="eastAsia" w:ascii="宋体" w:hAnsi="宋体" w:cs="宋体"/>
                <w:color w:val="auto"/>
                <w:kern w:val="0"/>
                <w:szCs w:val="21"/>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color w:val="auto"/>
                <w:szCs w:val="21"/>
              </w:rPr>
            </w:pPr>
            <w:r>
              <w:rPr>
                <w:rFonts w:hint="eastAsia" w:ascii="宋体" w:hAnsi="宋体" w:cs="宋体"/>
                <w:color w:val="auto"/>
                <w:kern w:val="0"/>
                <w:szCs w:val="21"/>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color w:val="auto"/>
                <w:szCs w:val="21"/>
              </w:rPr>
            </w:pPr>
            <w:r>
              <w:rPr>
                <w:rFonts w:hint="eastAsia" w:ascii="宋体" w:hAnsi="宋体" w:cs="宋体"/>
                <w:color w:val="auto"/>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有1个及以上类似项目工作经验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color w:val="auto"/>
                <w:sz w:val="20"/>
                <w:szCs w:val="20"/>
              </w:rPr>
            </w:pPr>
            <w:r>
              <w:rPr>
                <w:rFonts w:hint="eastAsia" w:ascii="宋体" w:hAnsi="宋体" w:cs="宋体"/>
                <w:color w:val="auto"/>
                <w:kern w:val="0"/>
                <w:sz w:val="18"/>
                <w:szCs w:val="18"/>
              </w:rPr>
              <w:t xml:space="preserve">注：1、本表为主要人员的最低要求，投标人应根据施工需要或招标人的要求增加相关专业技术人员。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2、如因投标人的原因(除不可抗拒因素外)更换上述主要人员，须报请招标人批准，更换人员的资质不能低于招标文件要求，自行更换主要负责人的，对投标人按每人次</w:t>
            </w:r>
            <w:r>
              <w:rPr>
                <w:rFonts w:hint="eastAsia" w:ascii="宋体" w:hAnsi="宋体" w:cs="宋体"/>
                <w:color w:val="auto"/>
                <w:kern w:val="0"/>
                <w:sz w:val="18"/>
                <w:szCs w:val="18"/>
                <w:lang w:eastAsia="zh-CN"/>
              </w:rPr>
              <w:t>课以</w:t>
            </w:r>
            <w:r>
              <w:rPr>
                <w:rFonts w:hint="eastAsia" w:ascii="宋体" w:hAnsi="宋体" w:cs="宋体"/>
                <w:color w:val="auto"/>
                <w:kern w:val="0"/>
                <w:sz w:val="18"/>
                <w:szCs w:val="18"/>
              </w:rPr>
              <w:t>5万元人民币违约金。</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3、相关管理人员及技术人员必须在岗，有特殊情况离岗必须向项目部请假并得到批准。</w:t>
            </w:r>
          </w:p>
        </w:tc>
      </w:tr>
    </w:tbl>
    <w:p>
      <w:p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pStyle w:val="2"/>
        <w:numPr>
          <w:ilvl w:val="0"/>
          <w:numId w:val="0"/>
        </w:numPr>
        <w:jc w:val="left"/>
        <w:rPr>
          <w:rFonts w:ascii="宋体" w:hAnsi="宋体" w:cs="宋体"/>
          <w:b/>
          <w:color w:val="auto"/>
          <w:sz w:val="28"/>
          <w:szCs w:val="28"/>
        </w:rPr>
      </w:pPr>
    </w:p>
    <w:p>
      <w:pPr>
        <w:jc w:val="left"/>
        <w:rPr>
          <w:rFonts w:ascii="宋体" w:hAnsi="宋体" w:cs="宋体"/>
          <w:b/>
          <w:color w:val="auto"/>
          <w:sz w:val="28"/>
          <w:szCs w:val="28"/>
        </w:rPr>
      </w:pPr>
      <w:r>
        <w:rPr>
          <w:rFonts w:hint="eastAsia" w:ascii="宋体" w:hAnsi="宋体" w:cs="宋体"/>
          <w:b/>
          <w:color w:val="auto"/>
          <w:sz w:val="28"/>
          <w:szCs w:val="28"/>
        </w:rPr>
        <w:t>附表四</w:t>
      </w:r>
    </w:p>
    <w:p>
      <w:pPr>
        <w:pStyle w:val="2"/>
        <w:ind w:firstLine="0"/>
        <w:jc w:val="center"/>
        <w:rPr>
          <w:rFonts w:cs="仿宋"/>
          <w:b/>
          <w:bCs/>
          <w:color w:val="auto"/>
          <w:kern w:val="2"/>
          <w:sz w:val="28"/>
          <w:szCs w:val="28"/>
        </w:rPr>
      </w:pPr>
    </w:p>
    <w:tbl>
      <w:tblPr>
        <w:tblStyle w:val="5"/>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908"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color w:val="auto"/>
                <w:sz w:val="28"/>
                <w:szCs w:val="28"/>
              </w:rPr>
            </w:pPr>
            <w:r>
              <w:rPr>
                <w:rFonts w:hint="eastAsia" w:ascii="仿宋" w:hAnsi="仿宋" w:eastAsia="仿宋" w:cs="仿宋"/>
                <w:b/>
                <w:bCs/>
                <w:color w:val="auto"/>
                <w:sz w:val="28"/>
                <w:szCs w:val="28"/>
              </w:rPr>
              <w:t>G4216线宜金高速公路XJ17-5分段临建工程劳务合作</w:t>
            </w:r>
          </w:p>
          <w:p>
            <w:pPr>
              <w:pStyle w:val="2"/>
              <w:ind w:firstLine="0"/>
              <w:jc w:val="center"/>
              <w:rPr>
                <w:rFonts w:cs="仿宋"/>
                <w:b/>
                <w:bCs/>
                <w:color w:val="auto"/>
                <w:kern w:val="2"/>
                <w:sz w:val="28"/>
                <w:szCs w:val="28"/>
              </w:rPr>
            </w:pPr>
            <w:r>
              <w:rPr>
                <w:rFonts w:hint="eastAsia" w:cs="仿宋"/>
                <w:b/>
                <w:bCs/>
                <w:color w:val="auto"/>
                <w:kern w:val="2"/>
                <w:sz w:val="28"/>
                <w:szCs w:val="28"/>
              </w:rPr>
              <w:t>拟投入设备明细表(最低要求）</w:t>
            </w:r>
          </w:p>
          <w:p>
            <w:pPr>
              <w:pStyle w:val="2"/>
              <w:ind w:firstLine="0"/>
              <w:jc w:val="center"/>
              <w:rPr>
                <w:rFonts w:cs="仿宋"/>
                <w:b/>
                <w:bCs/>
                <w:color w:val="auto"/>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5225" w:hRule="atLeast"/>
        </w:trPr>
        <w:tc>
          <w:tcPr>
            <w:tcW w:w="10020" w:type="dxa"/>
            <w:tcBorders>
              <w:tl2br w:val="nil"/>
              <w:tr2bl w:val="nil"/>
            </w:tcBorders>
            <w:tcMar>
              <w:top w:w="15" w:type="dxa"/>
              <w:left w:w="15" w:type="dxa"/>
              <w:right w:w="15" w:type="dxa"/>
            </w:tcMar>
            <w:vAlign w:val="center"/>
          </w:tcPr>
          <w:tbl>
            <w:tblPr>
              <w:tblStyle w:val="5"/>
              <w:tblpPr w:leftFromText="180" w:rightFromText="180" w:vertAnchor="text" w:horzAnchor="page" w:tblpX="110" w:tblpY="-483"/>
              <w:tblOverlap w:val="never"/>
              <w:tblW w:w="9811" w:type="dxa"/>
              <w:tblInd w:w="0" w:type="dxa"/>
              <w:tblLayout w:type="fixed"/>
              <w:tblCellMar>
                <w:top w:w="0" w:type="dxa"/>
                <w:left w:w="108" w:type="dxa"/>
                <w:bottom w:w="0" w:type="dxa"/>
                <w:right w:w="108" w:type="dxa"/>
              </w:tblCellMar>
            </w:tblPr>
            <w:tblGrid>
              <w:gridCol w:w="797"/>
              <w:gridCol w:w="1740"/>
              <w:gridCol w:w="1112"/>
              <w:gridCol w:w="717"/>
              <w:gridCol w:w="881"/>
              <w:gridCol w:w="836"/>
              <w:gridCol w:w="1083"/>
              <w:gridCol w:w="783"/>
              <w:gridCol w:w="734"/>
              <w:gridCol w:w="1128"/>
            </w:tblGrid>
            <w:tr>
              <w:tblPrEx>
                <w:tblLayout w:type="fixed"/>
                <w:tblCellMar>
                  <w:top w:w="0" w:type="dxa"/>
                  <w:left w:w="108" w:type="dxa"/>
                  <w:bottom w:w="0" w:type="dxa"/>
                  <w:right w:w="108" w:type="dxa"/>
                </w:tblCellMar>
              </w:tblPrEx>
              <w:trPr>
                <w:trHeight w:val="395" w:hRule="atLeast"/>
              </w:trPr>
              <w:tc>
                <w:tcPr>
                  <w:tcW w:w="79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序号</w:t>
                  </w:r>
                </w:p>
              </w:tc>
              <w:tc>
                <w:tcPr>
                  <w:tcW w:w="174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rPr>
                      <w:rFonts w:ascii="宋体" w:hAnsi="宋体" w:cs="宋体"/>
                      <w:color w:val="auto"/>
                    </w:rPr>
                  </w:pPr>
                  <w:r>
                    <w:rPr>
                      <w:rFonts w:hint="eastAsia" w:ascii="宋体" w:hAnsi="宋体" w:cs="宋体"/>
                      <w:color w:val="auto"/>
                    </w:rPr>
                    <w:t>机械设备名称</w:t>
                  </w:r>
                </w:p>
              </w:tc>
              <w:tc>
                <w:tcPr>
                  <w:tcW w:w="111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规格、型号</w:t>
                  </w:r>
                </w:p>
              </w:tc>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单位</w:t>
                  </w:r>
                </w:p>
              </w:tc>
              <w:tc>
                <w:tcPr>
                  <w:tcW w:w="171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基本要求</w:t>
                  </w:r>
                </w:p>
              </w:tc>
              <w:tc>
                <w:tcPr>
                  <w:tcW w:w="108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每增加一台自有设备加分值</w:t>
                  </w:r>
                </w:p>
              </w:tc>
              <w:tc>
                <w:tcPr>
                  <w:tcW w:w="78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加分上限</w:t>
                  </w:r>
                </w:p>
              </w:tc>
              <w:tc>
                <w:tcPr>
                  <w:tcW w:w="734"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出厂日期</w:t>
                  </w:r>
                </w:p>
              </w:tc>
              <w:tc>
                <w:tcPr>
                  <w:tcW w:w="1128"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备注</w:t>
                  </w:r>
                </w:p>
              </w:tc>
            </w:tr>
            <w:tr>
              <w:tblPrEx>
                <w:tblLayout w:type="fixed"/>
                <w:tblCellMar>
                  <w:top w:w="0" w:type="dxa"/>
                  <w:left w:w="108" w:type="dxa"/>
                  <w:bottom w:w="0" w:type="dxa"/>
                  <w:right w:w="108" w:type="dxa"/>
                </w:tblCellMar>
              </w:tblPrEx>
              <w:trPr>
                <w:trHeight w:val="379" w:hRule="atLeast"/>
              </w:trPr>
              <w:tc>
                <w:tcPr>
                  <w:tcW w:w="797"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p>
              </w:tc>
              <w:tc>
                <w:tcPr>
                  <w:tcW w:w="1740"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p>
              </w:tc>
              <w:tc>
                <w:tcPr>
                  <w:tcW w:w="1112"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p>
              </w:tc>
              <w:tc>
                <w:tcPr>
                  <w:tcW w:w="717"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总数量</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自有设备</w:t>
                  </w:r>
                </w:p>
              </w:tc>
              <w:tc>
                <w:tcPr>
                  <w:tcW w:w="1083"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p>
              </w:tc>
              <w:tc>
                <w:tcPr>
                  <w:tcW w:w="783"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p>
              </w:tc>
              <w:tc>
                <w:tcPr>
                  <w:tcW w:w="734"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p>
              </w:tc>
              <w:tc>
                <w:tcPr>
                  <w:tcW w:w="1128"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p>
              </w:tc>
            </w:tr>
            <w:tr>
              <w:tblPrEx>
                <w:tblLayout w:type="fixed"/>
                <w:tblCellMar>
                  <w:top w:w="0" w:type="dxa"/>
                  <w:left w:w="108" w:type="dxa"/>
                  <w:bottom w:w="0" w:type="dxa"/>
                  <w:right w:w="108" w:type="dxa"/>
                </w:tblCellMar>
              </w:tblPrEx>
              <w:trPr>
                <w:trHeight w:val="532"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rPr>
                      <w:rFonts w:ascii="宋体" w:hAnsi="宋体" w:cs="宋体"/>
                      <w:color w:val="auto"/>
                    </w:rPr>
                  </w:pPr>
                  <w:r>
                    <w:rPr>
                      <w:rFonts w:hint="eastAsia" w:ascii="宋体" w:hAnsi="宋体" w:cs="宋体"/>
                      <w:color w:val="auto"/>
                    </w:rPr>
                    <w:t>1</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jc w:val="center"/>
                    <w:textAlignment w:val="center"/>
                    <w:rPr>
                      <w:rFonts w:ascii="宋体" w:hAnsi="宋体" w:cs="宋体"/>
                      <w:color w:val="auto"/>
                    </w:rPr>
                  </w:pPr>
                  <w:r>
                    <w:rPr>
                      <w:rFonts w:hint="eastAsia" w:ascii="宋体" w:hAnsi="宋体" w:cs="宋体"/>
                      <w:color w:val="auto"/>
                    </w:rPr>
                    <w:t>挖掘机</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1"/>
                    <w:jc w:val="center"/>
                    <w:textAlignment w:val="center"/>
                    <w:rPr>
                      <w:rFonts w:ascii="宋体" w:hAnsi="宋体" w:cs="宋体"/>
                      <w:color w:val="auto"/>
                    </w:rPr>
                  </w:pPr>
                  <w:r>
                    <w:rPr>
                      <w:rFonts w:hint="eastAsia" w:ascii="宋体" w:hAnsi="宋体" w:cs="宋体"/>
                      <w:color w:val="auto"/>
                    </w:rPr>
                    <w:t>220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rPr>
                  </w:pPr>
                  <w:r>
                    <w:rPr>
                      <w:rFonts w:hint="eastAsia" w:ascii="宋体" w:hAnsi="宋体" w:cs="宋体"/>
                      <w:color w:val="auto"/>
                    </w:rPr>
                    <w:t>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2</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rPr>
                    <w:t>1</w:t>
                  </w:r>
                </w:p>
              </w:tc>
              <w:tc>
                <w:tcPr>
                  <w:tcW w:w="734" w:type="dxa"/>
                  <w:vMerge w:val="restart"/>
                  <w:tcBorders>
                    <w:top w:val="single" w:color="000000" w:sz="4" w:space="0"/>
                    <w:left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rPr>
                    <w:t>2015年1月后</w:t>
                  </w:r>
                </w:p>
              </w:tc>
              <w:tc>
                <w:tcPr>
                  <w:tcW w:w="1128" w:type="dxa"/>
                  <w:vMerge w:val="restart"/>
                  <w:tcBorders>
                    <w:top w:val="single" w:color="000000" w:sz="4" w:space="0"/>
                    <w:left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sz w:val="19"/>
                    </w:rPr>
                    <w:t>自有设备需提供购买发票或公证机关出具的公证书</w:t>
                  </w:r>
                </w:p>
              </w:tc>
            </w:tr>
            <w:tr>
              <w:tblPrEx>
                <w:tblLayout w:type="fixed"/>
                <w:tblCellMar>
                  <w:top w:w="0" w:type="dxa"/>
                  <w:left w:w="108" w:type="dxa"/>
                  <w:bottom w:w="0" w:type="dxa"/>
                  <w:right w:w="108" w:type="dxa"/>
                </w:tblCellMar>
              </w:tblPrEx>
              <w:trPr>
                <w:trHeight w:val="602"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rPr>
                      <w:rFonts w:ascii="宋体" w:hAnsi="宋体" w:cs="宋体"/>
                      <w:color w:val="auto"/>
                    </w:rPr>
                  </w:pPr>
                  <w:r>
                    <w:rPr>
                      <w:rFonts w:hint="eastAsia" w:ascii="宋体" w:hAnsi="宋体" w:cs="宋体"/>
                      <w:color w:val="auto"/>
                    </w:rPr>
                    <w:t>2</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rPr>
                  </w:pPr>
                  <w:r>
                    <w:rPr>
                      <w:rFonts w:hint="eastAsia" w:ascii="宋体" w:hAnsi="宋体" w:cs="宋体"/>
                      <w:color w:val="auto"/>
                      <w:szCs w:val="21"/>
                    </w:rPr>
                    <w:t>推土机</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rPr>
                  </w:pPr>
                  <w:r>
                    <w:rPr>
                      <w:rFonts w:hint="eastAsia" w:ascii="宋体" w:hAnsi="宋体" w:cs="宋体"/>
                      <w:color w:val="auto"/>
                      <w:szCs w:val="21"/>
                    </w:rPr>
                    <w:t>TY220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rPr>
                  </w:pPr>
                  <w:r>
                    <w:rPr>
                      <w:rFonts w:hint="eastAsia" w:ascii="宋体" w:hAnsi="宋体" w:cs="宋体"/>
                      <w:color w:val="auto"/>
                      <w:szCs w:val="21"/>
                    </w:rPr>
                    <w:t>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
                    <w:spacing w:line="400" w:lineRule="exact"/>
                    <w:jc w:val="center"/>
                    <w:rPr>
                      <w:color w:val="auto"/>
                    </w:rPr>
                  </w:pPr>
                  <w:r>
                    <w:rPr>
                      <w:rFonts w:hint="eastAsia"/>
                      <w:color w:val="auto"/>
                      <w:szCs w:val="21"/>
                      <w:lang w:val="en-US"/>
                    </w:rPr>
                    <w:t>1</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
                    <w:spacing w:line="400" w:lineRule="exact"/>
                    <w:jc w:val="center"/>
                    <w:rPr>
                      <w:color w:val="auto"/>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rPr>
                  </w:pPr>
                  <w:r>
                    <w:rPr>
                      <w:rFonts w:hint="eastAsia" w:ascii="宋体" w:hAnsi="宋体" w:cs="宋体"/>
                      <w:color w:val="auto"/>
                      <w:szCs w:val="21"/>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rPr>
                  </w:pPr>
                  <w:r>
                    <w:rPr>
                      <w:rFonts w:hint="eastAsia" w:ascii="宋体" w:hAnsi="宋体" w:cs="宋体"/>
                      <w:color w:val="auto"/>
                      <w:szCs w:val="21"/>
                    </w:rPr>
                    <w:t>0.5</w:t>
                  </w:r>
                </w:p>
              </w:tc>
              <w:tc>
                <w:tcPr>
                  <w:tcW w:w="734"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rPr>
                  </w:pPr>
                </w:p>
              </w:tc>
              <w:tc>
                <w:tcPr>
                  <w:tcW w:w="1128"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sz w:val="19"/>
                    </w:rPr>
                  </w:pPr>
                </w:p>
              </w:tc>
            </w:tr>
            <w:tr>
              <w:tblPrEx>
                <w:tblLayout w:type="fixed"/>
                <w:tblCellMar>
                  <w:top w:w="0" w:type="dxa"/>
                  <w:left w:w="108" w:type="dxa"/>
                  <w:bottom w:w="0" w:type="dxa"/>
                  <w:right w:w="108" w:type="dxa"/>
                </w:tblCellMar>
              </w:tblPrEx>
              <w:trPr>
                <w:trHeight w:val="548"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3</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jc w:val="center"/>
                    <w:textAlignment w:val="center"/>
                    <w:rPr>
                      <w:rFonts w:ascii="宋体" w:hAnsi="宋体" w:cs="宋体"/>
                      <w:color w:val="auto"/>
                    </w:rPr>
                  </w:pPr>
                  <w:r>
                    <w:rPr>
                      <w:rFonts w:hint="eastAsia" w:ascii="宋体" w:hAnsi="宋体" w:cs="宋体"/>
                      <w:color w:val="auto"/>
                    </w:rPr>
                    <w:t>压路机</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1"/>
                    <w:jc w:val="center"/>
                    <w:textAlignment w:val="center"/>
                    <w:rPr>
                      <w:rFonts w:ascii="宋体" w:hAnsi="宋体" w:cs="宋体"/>
                      <w:color w:val="auto"/>
                    </w:rPr>
                  </w:pPr>
                  <w:r>
                    <w:rPr>
                      <w:rFonts w:hint="eastAsia" w:ascii="宋体" w:hAnsi="宋体" w:cs="宋体"/>
                      <w:color w:val="auto"/>
                    </w:rPr>
                    <w:t>20t</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rPr>
                  </w:pPr>
                  <w:r>
                    <w:rPr>
                      <w:rFonts w:hint="eastAsia" w:ascii="宋体" w:hAnsi="宋体" w:cs="宋体"/>
                      <w:color w:val="auto"/>
                    </w:rPr>
                    <w:t>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szCs w:val="21"/>
                      <w:lang w:bidi="zh-CN"/>
                    </w:rPr>
                  </w:pPr>
                  <w:r>
                    <w:rPr>
                      <w:rFonts w:hint="eastAsia" w:ascii="宋体" w:hAnsi="宋体" w:cs="宋体"/>
                      <w:color w:val="auto"/>
                    </w:rPr>
                    <w:t>1</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szCs w:val="21"/>
                      <w:lang w:bidi="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szCs w:val="21"/>
                    </w:rPr>
                  </w:pPr>
                  <w:r>
                    <w:rPr>
                      <w:rFonts w:hint="eastAsia" w:ascii="宋体" w:hAnsi="宋体" w:cs="宋体"/>
                      <w:color w:val="auto"/>
                    </w:rPr>
                    <w:t>0.25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szCs w:val="21"/>
                    </w:rPr>
                  </w:pPr>
                  <w:r>
                    <w:rPr>
                      <w:rFonts w:hint="eastAsia" w:ascii="宋体" w:hAnsi="宋体" w:cs="宋体"/>
                      <w:color w:val="auto"/>
                    </w:rPr>
                    <w:t>0.5</w:t>
                  </w:r>
                </w:p>
              </w:tc>
              <w:tc>
                <w:tcPr>
                  <w:tcW w:w="734"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rPr>
                      <w:color w:val="auto"/>
                    </w:rPr>
                  </w:pPr>
                </w:p>
              </w:tc>
              <w:tc>
                <w:tcPr>
                  <w:tcW w:w="1128" w:type="dxa"/>
                  <w:vMerge w:val="continue"/>
                  <w:tcBorders>
                    <w:left w:val="single" w:color="000000" w:sz="4" w:space="0"/>
                    <w:right w:val="single" w:color="000000" w:sz="4" w:space="0"/>
                    <w:tl2br w:val="nil"/>
                    <w:tr2bl w:val="nil"/>
                  </w:tcBorders>
                  <w:vAlign w:val="center"/>
                </w:tcPr>
                <w:p>
                  <w:pPr>
                    <w:widowControl/>
                    <w:jc w:val="center"/>
                    <w:textAlignment w:val="center"/>
                    <w:rPr>
                      <w:color w:val="auto"/>
                    </w:rPr>
                  </w:pPr>
                </w:p>
              </w:tc>
            </w:tr>
            <w:tr>
              <w:tblPrEx>
                <w:tblLayout w:type="fixed"/>
                <w:tblCellMar>
                  <w:top w:w="0" w:type="dxa"/>
                  <w:left w:w="108" w:type="dxa"/>
                  <w:bottom w:w="0" w:type="dxa"/>
                  <w:right w:w="108" w:type="dxa"/>
                </w:tblCellMar>
              </w:tblPrEx>
              <w:trPr>
                <w:trHeight w:val="53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4</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jc w:val="center"/>
                    <w:textAlignment w:val="center"/>
                    <w:rPr>
                      <w:rFonts w:ascii="宋体" w:hAnsi="宋体" w:cs="宋体"/>
                      <w:color w:val="auto"/>
                      <w:szCs w:val="21"/>
                    </w:rPr>
                  </w:pPr>
                  <w:r>
                    <w:rPr>
                      <w:rFonts w:hint="eastAsia" w:ascii="宋体" w:hAnsi="宋体" w:cs="宋体"/>
                      <w:color w:val="auto"/>
                    </w:rPr>
                    <w:t>装载机</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1"/>
                    <w:jc w:val="center"/>
                    <w:textAlignment w:val="center"/>
                    <w:rPr>
                      <w:rFonts w:ascii="宋体" w:hAnsi="宋体" w:cs="宋体"/>
                      <w:color w:val="auto"/>
                      <w:szCs w:val="21"/>
                    </w:rPr>
                  </w:pPr>
                  <w:r>
                    <w:rPr>
                      <w:rFonts w:hint="eastAsia" w:ascii="宋体" w:hAnsi="宋体" w:cs="宋体"/>
                      <w:color w:val="auto"/>
                    </w:rPr>
                    <w:t>50型</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szCs w:val="21"/>
                    </w:rPr>
                  </w:pPr>
                  <w:r>
                    <w:rPr>
                      <w:rFonts w:hint="eastAsia" w:ascii="宋体" w:hAnsi="宋体" w:cs="宋体"/>
                      <w:color w:val="auto"/>
                    </w:rPr>
                    <w:t>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
                    <w:spacing w:line="400" w:lineRule="exact"/>
                    <w:jc w:val="center"/>
                    <w:rPr>
                      <w:color w:val="auto"/>
                      <w:szCs w:val="21"/>
                      <w:lang w:val="en-US"/>
                    </w:rPr>
                  </w:pPr>
                  <w:r>
                    <w:rPr>
                      <w:rFonts w:hint="eastAsia"/>
                      <w:color w:val="auto"/>
                      <w:szCs w:val="21"/>
                      <w:lang w:val="en-US"/>
                    </w:rPr>
                    <w:t>2</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
                    <w:spacing w:line="400" w:lineRule="exact"/>
                    <w:jc w:val="center"/>
                    <w:rPr>
                      <w:color w:val="auto"/>
                      <w:szCs w:val="21"/>
                      <w:lang w:val="en-US"/>
                    </w:rPr>
                  </w:pPr>
                  <w:r>
                    <w:rPr>
                      <w:rFonts w:hint="eastAsia"/>
                      <w:color w:val="auto"/>
                      <w:szCs w:val="21"/>
                      <w:lang w:val="en-US"/>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1</w:t>
                  </w:r>
                </w:p>
              </w:tc>
              <w:tc>
                <w:tcPr>
                  <w:tcW w:w="734"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rPr>
                      <w:color w:val="auto"/>
                    </w:rPr>
                  </w:pPr>
                </w:p>
              </w:tc>
              <w:tc>
                <w:tcPr>
                  <w:tcW w:w="1128" w:type="dxa"/>
                  <w:vMerge w:val="continue"/>
                  <w:tcBorders>
                    <w:left w:val="single" w:color="000000" w:sz="4" w:space="0"/>
                    <w:right w:val="single" w:color="000000" w:sz="4" w:space="0"/>
                    <w:tl2br w:val="nil"/>
                    <w:tr2bl w:val="nil"/>
                  </w:tcBorders>
                  <w:vAlign w:val="center"/>
                </w:tcPr>
                <w:p>
                  <w:pPr>
                    <w:widowControl/>
                    <w:jc w:val="center"/>
                    <w:textAlignment w:val="center"/>
                    <w:rPr>
                      <w:color w:val="auto"/>
                    </w:rPr>
                  </w:pPr>
                </w:p>
              </w:tc>
            </w:tr>
            <w:tr>
              <w:tblPrEx>
                <w:tblLayout w:type="fixed"/>
                <w:tblCellMar>
                  <w:top w:w="0" w:type="dxa"/>
                  <w:left w:w="108" w:type="dxa"/>
                  <w:bottom w:w="0" w:type="dxa"/>
                  <w:right w:w="108" w:type="dxa"/>
                </w:tblCellMar>
              </w:tblPrEx>
              <w:trPr>
                <w:trHeight w:val="50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5</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洒水车</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10m³</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辆</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
                    <w:spacing w:line="400" w:lineRule="exact"/>
                    <w:jc w:val="center"/>
                    <w:rPr>
                      <w:color w:val="auto"/>
                      <w:szCs w:val="21"/>
                      <w:lang w:val="en-US"/>
                    </w:rPr>
                  </w:pPr>
                  <w:r>
                    <w:rPr>
                      <w:rFonts w:hint="eastAsia"/>
                      <w:color w:val="auto"/>
                      <w:szCs w:val="21"/>
                      <w:lang w:val="en-US"/>
                    </w:rPr>
                    <w:t>1</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
                    <w:spacing w:line="400" w:lineRule="exact"/>
                    <w:jc w:val="center"/>
                    <w:rPr>
                      <w:color w:val="auto"/>
                      <w:szCs w:val="21"/>
                      <w:lang w:val="en-US"/>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p>
              </w:tc>
              <w:tc>
                <w:tcPr>
                  <w:tcW w:w="734"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rPr>
                      <w:color w:val="auto"/>
                    </w:rPr>
                  </w:pPr>
                </w:p>
              </w:tc>
              <w:tc>
                <w:tcPr>
                  <w:tcW w:w="1128" w:type="dxa"/>
                  <w:vMerge w:val="continue"/>
                  <w:tcBorders>
                    <w:left w:val="single" w:color="000000" w:sz="4" w:space="0"/>
                    <w:right w:val="single" w:color="000000" w:sz="4" w:space="0"/>
                    <w:tl2br w:val="nil"/>
                    <w:tr2bl w:val="nil"/>
                  </w:tcBorders>
                  <w:vAlign w:val="center"/>
                </w:tcPr>
                <w:p>
                  <w:pPr>
                    <w:widowControl/>
                    <w:jc w:val="center"/>
                    <w:textAlignment w:val="center"/>
                    <w:rPr>
                      <w:color w:val="auto"/>
                    </w:rPr>
                  </w:pPr>
                </w:p>
              </w:tc>
            </w:tr>
            <w:tr>
              <w:tblPrEx>
                <w:tblLayout w:type="fixed"/>
                <w:tblCellMar>
                  <w:top w:w="0" w:type="dxa"/>
                  <w:left w:w="108" w:type="dxa"/>
                  <w:bottom w:w="0" w:type="dxa"/>
                  <w:right w:w="108" w:type="dxa"/>
                </w:tblCellMar>
              </w:tblPrEx>
              <w:trPr>
                <w:trHeight w:val="49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6</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自卸车</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20m³</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辆</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
                    <w:spacing w:line="400" w:lineRule="exact"/>
                    <w:jc w:val="center"/>
                    <w:rPr>
                      <w:color w:val="auto"/>
                      <w:szCs w:val="21"/>
                      <w:lang w:val="en-US"/>
                    </w:rPr>
                  </w:pPr>
                  <w:r>
                    <w:rPr>
                      <w:rFonts w:hint="eastAsia"/>
                      <w:color w:val="auto"/>
                      <w:szCs w:val="21"/>
                      <w:lang w:val="en-US"/>
                    </w:rPr>
                    <w:t>3</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6"/>
                    <w:spacing w:line="400" w:lineRule="exact"/>
                    <w:jc w:val="center"/>
                    <w:rPr>
                      <w:color w:val="auto"/>
                      <w:szCs w:val="21"/>
                      <w:lang w:val="en-US"/>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1</w:t>
                  </w:r>
                </w:p>
              </w:tc>
              <w:tc>
                <w:tcPr>
                  <w:tcW w:w="734" w:type="dxa"/>
                  <w:vMerge w:val="continue"/>
                  <w:tcBorders>
                    <w:left w:val="single" w:color="000000" w:sz="4" w:space="0"/>
                    <w:bottom w:val="single" w:color="auto" w:sz="4" w:space="0"/>
                    <w:right w:val="single" w:color="000000" w:sz="4" w:space="0"/>
                    <w:tl2br w:val="nil"/>
                    <w:tr2bl w:val="nil"/>
                  </w:tcBorders>
                  <w:vAlign w:val="center"/>
                </w:tcPr>
                <w:p>
                  <w:pPr>
                    <w:widowControl/>
                    <w:spacing w:line="260" w:lineRule="exact"/>
                    <w:ind w:right="5"/>
                    <w:jc w:val="center"/>
                    <w:textAlignment w:val="center"/>
                    <w:rPr>
                      <w:color w:val="auto"/>
                    </w:rPr>
                  </w:pPr>
                </w:p>
              </w:tc>
              <w:tc>
                <w:tcPr>
                  <w:tcW w:w="1128" w:type="dxa"/>
                  <w:vMerge w:val="continue"/>
                  <w:tcBorders>
                    <w:left w:val="single" w:color="000000" w:sz="4" w:space="0"/>
                    <w:bottom w:val="single" w:color="auto" w:sz="4" w:space="0"/>
                    <w:right w:val="single" w:color="000000" w:sz="4" w:space="0"/>
                    <w:tl2br w:val="nil"/>
                    <w:tr2bl w:val="nil"/>
                  </w:tcBorders>
                  <w:vAlign w:val="center"/>
                </w:tcPr>
                <w:p>
                  <w:pPr>
                    <w:widowControl/>
                    <w:jc w:val="center"/>
                    <w:textAlignment w:val="center"/>
                    <w:rPr>
                      <w:color w:val="auto"/>
                    </w:rPr>
                  </w:pPr>
                </w:p>
              </w:tc>
            </w:tr>
          </w:tbl>
          <w:p>
            <w:pPr>
              <w:widowControl/>
              <w:jc w:val="left"/>
              <w:textAlignment w:val="center"/>
              <w:rPr>
                <w:color w:val="auto"/>
              </w:rPr>
            </w:pPr>
          </w:p>
          <w:p>
            <w:pPr>
              <w:widowControl/>
              <w:jc w:val="left"/>
              <w:textAlignment w:val="center"/>
              <w:rPr>
                <w:rFonts w:ascii="宋体" w:hAnsi="宋体" w:cs="宋体"/>
                <w:color w:val="auto"/>
                <w:sz w:val="18"/>
                <w:szCs w:val="18"/>
              </w:rPr>
            </w:pPr>
            <w:r>
              <w:rPr>
                <w:rFonts w:hint="eastAsia" w:ascii="宋体" w:hAnsi="宋体" w:cs="宋体"/>
                <w:color w:val="auto"/>
                <w:sz w:val="18"/>
                <w:szCs w:val="18"/>
              </w:rPr>
              <w:t>注：1、若监理工程师或招标人认为投标人配备的机械设备不能满足现场施工的需要，或不能保证工程质量和进度时，招标人有权要求投标人增加。</w:t>
            </w:r>
          </w:p>
          <w:p>
            <w:pPr>
              <w:rPr>
                <w:rFonts w:ascii="宋体" w:hAnsi="宋体" w:cs="宋体"/>
                <w:color w:val="auto"/>
                <w:kern w:val="0"/>
                <w:sz w:val="18"/>
                <w:szCs w:val="18"/>
              </w:rPr>
            </w:pPr>
            <w:r>
              <w:rPr>
                <w:rFonts w:hint="eastAsia"/>
                <w:color w:val="auto"/>
                <w:sz w:val="18"/>
                <w:szCs w:val="18"/>
              </w:rPr>
              <w:t>2、本表中的总数量为承包人中标后向发包人承诺的投入最低设备要求，并以书面形式纳入合同附件。</w:t>
            </w:r>
          </w:p>
        </w:tc>
      </w:tr>
    </w:tbl>
    <w:p>
      <w:pPr>
        <w:pStyle w:val="2"/>
        <w:ind w:firstLine="0"/>
        <w:jc w:val="left"/>
        <w:rPr>
          <w:rFonts w:ascii="宋体" w:hAnsi="宋体" w:eastAsia="宋体" w:cs="宋体"/>
          <w:b/>
          <w:color w:val="auto"/>
          <w:sz w:val="28"/>
          <w:szCs w:val="28"/>
        </w:rPr>
      </w:pPr>
    </w:p>
    <w:tbl>
      <w:tblPr>
        <w:tblStyle w:val="5"/>
        <w:tblW w:w="99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38" w:hRule="atLeast"/>
        </w:trPr>
        <w:tc>
          <w:tcPr>
            <w:tcW w:w="998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color w:val="auto"/>
                <w:sz w:val="28"/>
                <w:szCs w:val="28"/>
              </w:rPr>
            </w:pPr>
            <w:r>
              <w:rPr>
                <w:rFonts w:hint="eastAsia" w:ascii="仿宋" w:hAnsi="仿宋" w:eastAsia="仿宋" w:cs="仿宋"/>
                <w:b/>
                <w:bCs/>
                <w:color w:val="auto"/>
                <w:sz w:val="28"/>
                <w:szCs w:val="28"/>
              </w:rPr>
              <w:t>G4216线屏山新市至金阳高速公路ZX2-5分段项目临建工程劳务合作项目</w:t>
            </w:r>
          </w:p>
          <w:p>
            <w:pPr>
              <w:widowControl/>
              <w:jc w:val="center"/>
              <w:textAlignment w:val="center"/>
              <w:rPr>
                <w:rFonts w:ascii="宋体" w:hAnsi="宋体" w:cs="宋体"/>
                <w:b/>
                <w:color w:val="auto"/>
                <w:sz w:val="28"/>
                <w:szCs w:val="28"/>
              </w:rPr>
            </w:pPr>
            <w:r>
              <w:rPr>
                <w:rFonts w:hint="eastAsia" w:ascii="仿宋" w:hAnsi="仿宋" w:eastAsia="仿宋" w:cs="仿宋"/>
                <w:b/>
                <w:bCs/>
                <w:color w:val="auto"/>
                <w:sz w:val="28"/>
                <w:szCs w:val="28"/>
              </w:rPr>
              <w:t>拟</w:t>
            </w:r>
            <w:r>
              <w:rPr>
                <w:rFonts w:hint="eastAsia" w:ascii="仿宋" w:hAnsi="仿宋" w:eastAsia="仿宋" w:cs="仿宋"/>
                <w:b/>
                <w:color w:val="auto"/>
                <w:kern w:val="0"/>
                <w:sz w:val="28"/>
                <w:szCs w:val="28"/>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002" w:hRule="atLeast"/>
        </w:trPr>
        <w:tc>
          <w:tcPr>
            <w:tcW w:w="9980" w:type="dxa"/>
            <w:tcBorders>
              <w:tl2br w:val="nil"/>
              <w:tr2bl w:val="nil"/>
            </w:tcBorders>
            <w:tcMar>
              <w:top w:w="15" w:type="dxa"/>
              <w:left w:w="15" w:type="dxa"/>
              <w:right w:w="15" w:type="dxa"/>
            </w:tcMar>
            <w:vAlign w:val="center"/>
          </w:tcPr>
          <w:tbl>
            <w:tblPr>
              <w:tblStyle w:val="5"/>
              <w:tblW w:w="9492" w:type="dxa"/>
              <w:tblInd w:w="222" w:type="dxa"/>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6"/>
                    <w:kinsoku w:val="0"/>
                    <w:overflowPunct w:val="0"/>
                    <w:spacing w:line="260" w:lineRule="exact"/>
                    <w:jc w:val="center"/>
                    <w:rPr>
                      <w:color w:val="auto"/>
                      <w:szCs w:val="21"/>
                    </w:rPr>
                  </w:pPr>
                  <w:r>
                    <w:rPr>
                      <w:rFonts w:hint="eastAsia"/>
                      <w:color w:val="auto"/>
                      <w:szCs w:val="21"/>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6"/>
                    <w:kinsoku w:val="0"/>
                    <w:overflowPunct w:val="0"/>
                    <w:spacing w:line="260" w:lineRule="exact"/>
                    <w:jc w:val="center"/>
                    <w:rPr>
                      <w:color w:val="auto"/>
                      <w:szCs w:val="21"/>
                    </w:rPr>
                  </w:pPr>
                  <w:r>
                    <w:rPr>
                      <w:rFonts w:hint="eastAsia"/>
                      <w:color w:val="auto"/>
                      <w:szCs w:val="21"/>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color w:val="auto"/>
                      <w:szCs w:val="21"/>
                    </w:rPr>
                  </w:pPr>
                  <w:r>
                    <w:rPr>
                      <w:rFonts w:hint="eastAsia" w:ascii="宋体" w:hAnsi="宋体" w:cs="宋体"/>
                      <w:bCs/>
                      <w:color w:val="auto"/>
                      <w:szCs w:val="21"/>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color w:val="auto"/>
                      <w:szCs w:val="21"/>
                    </w:rPr>
                  </w:pPr>
                  <w:r>
                    <w:rPr>
                      <w:rFonts w:hint="eastAsia" w:ascii="宋体" w:hAnsi="宋体" w:cs="宋体"/>
                      <w:bCs/>
                      <w:color w:val="auto"/>
                      <w:szCs w:val="21"/>
                    </w:rPr>
                    <w:t>单位</w:t>
                  </w:r>
                </w:p>
              </w:tc>
              <w:tc>
                <w:tcPr>
                  <w:tcW w:w="1716"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pStyle w:val="6"/>
                    <w:spacing w:line="260" w:lineRule="exact"/>
                    <w:ind w:firstLine="210" w:firstLineChars="100"/>
                    <w:jc w:val="center"/>
                    <w:rPr>
                      <w:bCs/>
                      <w:color w:val="auto"/>
                      <w:szCs w:val="21"/>
                      <w:lang w:val="en-US" w:bidi="ar-SA"/>
                    </w:rPr>
                  </w:pPr>
                  <w:r>
                    <w:rPr>
                      <w:rFonts w:hint="eastAsia"/>
                      <w:color w:val="auto"/>
                      <w:szCs w:val="21"/>
                      <w:lang w:val="en-US"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line="260" w:lineRule="exact"/>
                    <w:jc w:val="center"/>
                    <w:rPr>
                      <w:rFonts w:cs="宋体"/>
                      <w:color w:val="auto"/>
                      <w:szCs w:val="21"/>
                    </w:rPr>
                  </w:pPr>
                  <w:r>
                    <w:rPr>
                      <w:rFonts w:hint="eastAsia" w:ascii="宋体" w:hAnsi="宋体" w:cs="宋体"/>
                      <w:color w:val="auto"/>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6"/>
                    <w:kinsoku w:val="0"/>
                    <w:overflowPunct w:val="0"/>
                    <w:spacing w:line="260" w:lineRule="exact"/>
                    <w:jc w:val="center"/>
                    <w:rPr>
                      <w:color w:val="auto"/>
                      <w:szCs w:val="21"/>
                      <w:lang w:val="en-US" w:bidi="ar-SA"/>
                    </w:rPr>
                  </w:pPr>
                  <w:r>
                    <w:rPr>
                      <w:rFonts w:hint="eastAsia"/>
                      <w:color w:val="auto"/>
                      <w:szCs w:val="21"/>
                      <w:lang w:val="en-US" w:bidi="ar-SA"/>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6"/>
                    <w:kinsoku w:val="0"/>
                    <w:overflowPunct w:val="0"/>
                    <w:spacing w:line="260" w:lineRule="exact"/>
                    <w:jc w:val="center"/>
                    <w:rPr>
                      <w:color w:val="auto"/>
                      <w:szCs w:val="21"/>
                      <w:lang w:val="en-US" w:bidi="ar-SA"/>
                    </w:rPr>
                  </w:pPr>
                  <w:r>
                    <w:rPr>
                      <w:rFonts w:hint="eastAsia"/>
                      <w:color w:val="auto"/>
                      <w:szCs w:val="21"/>
                      <w:lang w:val="en-US" w:bidi="ar-SA"/>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6"/>
                    <w:kinsoku w:val="0"/>
                    <w:overflowPunct w:val="0"/>
                    <w:spacing w:line="260" w:lineRule="exact"/>
                    <w:jc w:val="center"/>
                    <w:rPr>
                      <w:color w:val="auto"/>
                      <w:szCs w:val="21"/>
                      <w:lang w:val="en-US" w:bidi="ar-SA"/>
                    </w:rPr>
                  </w:pPr>
                  <w:r>
                    <w:rPr>
                      <w:rFonts w:hint="eastAsia"/>
                      <w:color w:val="auto"/>
                      <w:szCs w:val="21"/>
                      <w:lang w:val="en-US" w:bidi="ar-SA"/>
                    </w:rPr>
                    <w:t>备注</w:t>
                  </w:r>
                </w:p>
              </w:tc>
            </w:tr>
            <w:tr>
              <w:tblPrEx>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Cs w:val="21"/>
                    </w:rPr>
                  </w:pPr>
                </w:p>
              </w:tc>
              <w:tc>
                <w:tcPr>
                  <w:tcW w:w="158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Cs w:val="21"/>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Cs w:val="21"/>
                    </w:rPr>
                  </w:pPr>
                </w:p>
              </w:tc>
              <w:tc>
                <w:tcPr>
                  <w:tcW w:w="800"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Cs w:val="21"/>
                    </w:rPr>
                  </w:pP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pStyle w:val="6"/>
                    <w:spacing w:line="260" w:lineRule="exact"/>
                    <w:jc w:val="center"/>
                    <w:rPr>
                      <w:bCs/>
                      <w:color w:val="auto"/>
                      <w:szCs w:val="21"/>
                      <w:lang w:val="en-US" w:bidi="ar-SA"/>
                    </w:rPr>
                  </w:pPr>
                  <w:r>
                    <w:rPr>
                      <w:rFonts w:hint="eastAsia"/>
                      <w:color w:val="auto"/>
                      <w:szCs w:val="21"/>
                      <w:lang w:val="en-US" w:bidi="ar-SA"/>
                    </w:rPr>
                    <w:t>总数量</w:t>
                  </w:r>
                </w:p>
              </w:tc>
              <w:tc>
                <w:tcPr>
                  <w:tcW w:w="816" w:type="dxa"/>
                  <w:tcBorders>
                    <w:left w:val="single" w:color="000000" w:sz="4" w:space="0"/>
                    <w:bottom w:val="single" w:color="auto" w:sz="4" w:space="0"/>
                    <w:right w:val="single" w:color="auto" w:sz="4" w:space="0"/>
                    <w:tl2br w:val="nil"/>
                    <w:tr2bl w:val="nil"/>
                  </w:tcBorders>
                  <w:vAlign w:val="center"/>
                </w:tcPr>
                <w:p>
                  <w:pPr>
                    <w:pStyle w:val="6"/>
                    <w:spacing w:line="260" w:lineRule="exact"/>
                    <w:jc w:val="center"/>
                    <w:rPr>
                      <w:bCs/>
                      <w:color w:val="auto"/>
                      <w:szCs w:val="21"/>
                      <w:lang w:val="en-US" w:bidi="ar-SA"/>
                    </w:rPr>
                  </w:pPr>
                  <w:r>
                    <w:rPr>
                      <w:rFonts w:hint="eastAsia"/>
                      <w:color w:val="auto"/>
                      <w:szCs w:val="21"/>
                      <w:lang w:val="en-US"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color w:val="auto"/>
                      <w:szCs w:val="21"/>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color w:val="auto"/>
                      <w:szCs w:val="21"/>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color w:val="auto"/>
                      <w:szCs w:val="21"/>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color w:val="auto"/>
                      <w:szCs w:val="21"/>
                    </w:rPr>
                  </w:pP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58" w:lineRule="exact"/>
                    <w:ind w:right="5"/>
                    <w:jc w:val="center"/>
                    <w:textAlignment w:val="center"/>
                    <w:rPr>
                      <w:rFonts w:ascii="宋体" w:hAnsi="宋体" w:cs="宋体"/>
                      <w:color w:val="auto"/>
                    </w:rPr>
                  </w:pPr>
                  <w:r>
                    <w:rPr>
                      <w:rFonts w:hint="eastAsia" w:ascii="宋体" w:hAnsi="宋体" w:cs="宋体"/>
                      <w:color w:val="auto"/>
                    </w:rPr>
                    <w:t>1</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58" w:lineRule="exact"/>
                    <w:jc w:val="center"/>
                    <w:textAlignment w:val="center"/>
                    <w:rPr>
                      <w:rFonts w:ascii="宋体" w:hAnsi="宋体" w:cs="宋体"/>
                      <w:color w:val="auto"/>
                    </w:rPr>
                  </w:pPr>
                  <w:r>
                    <w:rPr>
                      <w:rFonts w:hint="eastAsia" w:ascii="宋体" w:hAnsi="宋体" w:cs="宋体"/>
                      <w:color w:val="auto"/>
                    </w:rPr>
                    <w:t>挖掘机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58" w:lineRule="exact"/>
                    <w:ind w:right="1"/>
                    <w:jc w:val="center"/>
                    <w:textAlignment w:val="center"/>
                    <w:rPr>
                      <w:rFonts w:ascii="宋体" w:hAnsi="宋体" w:cs="宋体"/>
                      <w:color w:val="auto"/>
                    </w:rPr>
                  </w:pPr>
                  <w:r>
                    <w:rPr>
                      <w:rFonts w:hint="eastAsia" w:ascii="宋体" w:hAnsi="宋体" w:cs="宋体"/>
                      <w:color w:val="auto"/>
                    </w:rPr>
                    <w:t>320</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color w:val="auto"/>
                    </w:rPr>
                  </w:pPr>
                  <w:r>
                    <w:rPr>
                      <w:rFonts w:hint="eastAsia" w:ascii="宋体" w:hAnsi="宋体" w:cs="宋体"/>
                      <w:color w:val="auto"/>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rPr>
                    <w:t>0.5</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rPr>
                    <w:t>2015年1月后</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sz w:val="19"/>
                    </w:rPr>
                    <w:t>自有设备需提供购买发票或公证机关出具的公证书</w:t>
                  </w:r>
                </w:p>
              </w:tc>
            </w:tr>
            <w:tr>
              <w:tblPrEx>
                <w:tblLayout w:type="fixed"/>
                <w:tblCellMar>
                  <w:top w:w="0" w:type="dxa"/>
                  <w:left w:w="108" w:type="dxa"/>
                  <w:bottom w:w="0" w:type="dxa"/>
                  <w:right w:w="108" w:type="dxa"/>
                </w:tblCellMar>
              </w:tblPrEx>
              <w:trPr>
                <w:trHeight w:val="819"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58" w:lineRule="exact"/>
                    <w:ind w:right="5"/>
                    <w:jc w:val="center"/>
                    <w:textAlignment w:val="center"/>
                    <w:rPr>
                      <w:color w:val="auto"/>
                      <w:szCs w:val="21"/>
                    </w:rPr>
                  </w:pPr>
                  <w:r>
                    <w:rPr>
                      <w:rFonts w:hint="eastAsia"/>
                      <w:color w:val="auto"/>
                      <w:szCs w:val="21"/>
                    </w:rPr>
                    <w:t>2</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bCs/>
                      <w:color w:val="auto"/>
                      <w:szCs w:val="21"/>
                    </w:rPr>
                  </w:pPr>
                  <w:r>
                    <w:rPr>
                      <w:rFonts w:hint="eastAsia" w:ascii="宋体" w:hAnsi="宋体" w:cs="宋体"/>
                      <w:color w:val="auto"/>
                    </w:rPr>
                    <w:t>自卸车</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bCs/>
                      <w:color w:val="auto"/>
                      <w:szCs w:val="21"/>
                    </w:rPr>
                  </w:pPr>
                  <w:r>
                    <w:rPr>
                      <w:rFonts w:hint="eastAsia" w:ascii="宋体" w:hAnsi="宋体" w:cs="宋体"/>
                      <w:color w:val="auto"/>
                    </w:rPr>
                    <w:t>20m³</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bCs/>
                      <w:color w:val="auto"/>
                      <w:szCs w:val="21"/>
                    </w:rPr>
                  </w:pPr>
                  <w:r>
                    <w:rPr>
                      <w:rFonts w:hint="eastAsia" w:ascii="宋体" w:hAnsi="宋体" w:cs="宋体"/>
                      <w:color w:val="auto"/>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bCs/>
                      <w:color w:val="auto"/>
                      <w:szCs w:val="21"/>
                    </w:rPr>
                  </w:pPr>
                  <w:r>
                    <w:rPr>
                      <w:rFonts w:hint="eastAsia" w:ascii="宋体" w:hAnsi="宋体" w:cs="宋体"/>
                      <w:color w:val="auto"/>
                    </w:rPr>
                    <w:t>4</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color w:val="auto"/>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auto"/>
                      <w:szCs w:val="21"/>
                      <w:lang w:bidi="zh-CN"/>
                    </w:rPr>
                  </w:pPr>
                  <w:r>
                    <w:rPr>
                      <w:rFonts w:hint="eastAsia" w:ascii="宋体" w:hAnsi="宋体" w:cs="宋体"/>
                      <w:color w:val="auto"/>
                      <w:szCs w:val="21"/>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rPr>
                    <w:t>2</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auto"/>
                      <w:szCs w:val="21"/>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auto"/>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color w:val="auto"/>
                      <w:szCs w:val="21"/>
                    </w:rPr>
                  </w:pPr>
                  <w:r>
                    <w:rPr>
                      <w:rFonts w:hint="eastAsia" w:ascii="宋体" w:hAnsi="宋体" w:cs="宋体"/>
                      <w:color w:val="auto"/>
                    </w:rPr>
                    <w:t>3</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bCs/>
                      <w:color w:val="auto"/>
                      <w:szCs w:val="21"/>
                    </w:rPr>
                  </w:pPr>
                  <w:r>
                    <w:rPr>
                      <w:rFonts w:hint="eastAsia" w:ascii="宋体" w:hAnsi="宋体" w:cs="仿宋"/>
                      <w:color w:val="auto"/>
                      <w:kern w:val="0"/>
                      <w:szCs w:val="21"/>
                    </w:rPr>
                    <w:t>装载机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center"/>
                    <w:rPr>
                      <w:rFonts w:ascii="宋体" w:hAnsi="宋体" w:cs="宋体"/>
                      <w:bCs/>
                      <w:color w:val="auto"/>
                      <w:szCs w:val="21"/>
                    </w:rPr>
                  </w:pPr>
                  <w:r>
                    <w:rPr>
                      <w:rFonts w:hint="eastAsia" w:ascii="宋体" w:hAnsi="宋体" w:cs="仿宋"/>
                      <w:color w:val="auto"/>
                      <w:kern w:val="0"/>
                      <w:szCs w:val="21"/>
                    </w:rPr>
                    <w:t>ZL50</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jc w:val="center"/>
                    <w:textAlignment w:val="center"/>
                    <w:rPr>
                      <w:rFonts w:ascii="宋体" w:hAnsi="宋体" w:cs="宋体"/>
                      <w:bCs/>
                      <w:color w:val="auto"/>
                      <w:szCs w:val="21"/>
                    </w:rPr>
                  </w:pPr>
                  <w:r>
                    <w:rPr>
                      <w:rFonts w:hint="eastAsia" w:ascii="宋体" w:hAnsi="宋体" w:cs="仿宋"/>
                      <w:color w:val="auto"/>
                      <w:kern w:val="0"/>
                      <w:szCs w:val="21"/>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bCs/>
                      <w:color w:val="auto"/>
                      <w:szCs w:val="21"/>
                    </w:rPr>
                  </w:pPr>
                  <w:r>
                    <w:rPr>
                      <w:rFonts w:hint="eastAsia" w:ascii="宋体" w:hAnsi="宋体" w:cs="宋体"/>
                      <w:color w:val="auto"/>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bCs/>
                      <w:color w:val="auto"/>
                      <w:szCs w:val="21"/>
                    </w:rPr>
                  </w:pPr>
                  <w:r>
                    <w:rPr>
                      <w:rFonts w:hint="eastAsia" w:ascii="宋体" w:hAnsi="宋体" w:cs="宋体"/>
                      <w:color w:val="auto"/>
                      <w:szCs w:val="21"/>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bCs/>
                      <w:color w:val="auto"/>
                      <w:szCs w:val="21"/>
                    </w:rPr>
                  </w:pPr>
                  <w:r>
                    <w:rPr>
                      <w:rFonts w:hint="eastAsia" w:ascii="宋体" w:hAnsi="宋体" w:cs="宋体"/>
                      <w:color w:val="auto"/>
                      <w:szCs w:val="21"/>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color w:val="auto"/>
                      <w:sz w:val="24"/>
                      <w:szCs w:val="24"/>
                      <w:lang w:bidi="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color w:val="auto"/>
                      <w:sz w:val="24"/>
                      <w:szCs w:val="24"/>
                    </w:rPr>
                  </w:pPr>
                </w:p>
              </w:tc>
            </w:tr>
          </w:tbl>
          <w:p>
            <w:pPr>
              <w:widowControl/>
              <w:jc w:val="left"/>
              <w:textAlignment w:val="center"/>
              <w:rPr>
                <w:color w:val="auto"/>
              </w:rPr>
            </w:pPr>
          </w:p>
          <w:p>
            <w:pPr>
              <w:widowControl/>
              <w:jc w:val="left"/>
              <w:textAlignment w:val="center"/>
              <w:rPr>
                <w:color w:val="auto"/>
              </w:rPr>
            </w:pPr>
          </w:p>
          <w:p>
            <w:pPr>
              <w:widowControl/>
              <w:jc w:val="left"/>
              <w:textAlignment w:val="center"/>
              <w:rPr>
                <w:rFonts w:ascii="宋体" w:hAnsi="宋体" w:cs="宋体"/>
                <w:color w:val="auto"/>
                <w:sz w:val="18"/>
                <w:szCs w:val="18"/>
              </w:rPr>
            </w:pPr>
            <w:r>
              <w:rPr>
                <w:rFonts w:hint="eastAsia" w:ascii="宋体" w:hAnsi="宋体" w:cs="宋体"/>
                <w:color w:val="auto"/>
                <w:sz w:val="18"/>
                <w:szCs w:val="18"/>
              </w:rPr>
              <w:t>注：1、若监理工程师或招标人认为投标人配备的机械设备不能满足现场施工的需要，或不能保证工程质量和进度时，招标人有权要求投标人增加。</w:t>
            </w:r>
          </w:p>
          <w:p>
            <w:pPr>
              <w:rPr>
                <w:rFonts w:ascii="宋体" w:hAnsi="宋体" w:cs="宋体"/>
                <w:color w:val="auto"/>
                <w:kern w:val="0"/>
                <w:sz w:val="18"/>
                <w:szCs w:val="18"/>
              </w:rPr>
            </w:pPr>
            <w:r>
              <w:rPr>
                <w:rFonts w:hint="eastAsia"/>
                <w:color w:val="auto"/>
                <w:sz w:val="18"/>
                <w:szCs w:val="18"/>
              </w:rPr>
              <w:t>2、本表中的总数量为承包人中标后向发包人承诺的投入最低设备要求，并以书面形式纳入合同附件。</w:t>
            </w:r>
          </w:p>
        </w:tc>
      </w:tr>
    </w:tbl>
    <w:p>
      <w:pPr>
        <w:pStyle w:val="2"/>
        <w:ind w:firstLine="0"/>
        <w:jc w:val="left"/>
        <w:rPr>
          <w:rFonts w:ascii="宋体" w:hAnsi="宋体" w:eastAsia="宋体" w:cs="宋体"/>
          <w:b/>
          <w:color w:val="auto"/>
          <w:sz w:val="28"/>
          <w:szCs w:val="28"/>
        </w:rPr>
      </w:pPr>
    </w:p>
    <w:bookmarkEnd w:id="0"/>
    <w:bookmarkEnd w:id="1"/>
    <w:p>
      <w:pPr>
        <w:rPr>
          <w:color w:val="auto"/>
        </w:rPr>
      </w:pPr>
    </w:p>
    <w:p>
      <w:bookmarkStart w:id="2" w:name="_GoBack"/>
      <w:bookmarkEnd w:id="2"/>
    </w:p>
    <w:sectPr>
      <w:headerReference r:id="rId3" w:type="default"/>
      <w:footerReference r:id="rId4"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4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77</w:t>
                          </w:r>
                          <w:r>
                            <w:fldChar w:fldCharType="end"/>
                          </w:r>
                        </w:p>
                      </w:txbxContent>
                    </wps:txbx>
                    <wps:bodyPr wrap="none" lIns="0" tIns="0" rIns="0" bIns="0" upright="1">
                      <a:spAutoFit/>
                    </wps:bodyPr>
                  </wps:wsp>
                </a:graphicData>
              </a:graphic>
            </wp:anchor>
          </w:drawing>
        </mc:Choice>
        <mc:Fallback>
          <w:pict>
            <v:shape id="4110"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OqXm5zwAAAAUBAAAPAAAAAAAAAAEAIAAAACIAAABkcnMv&#10;ZG93bnJldi54bWxQSwECFAAUAAAACACHTuJAecdb8poBAABFAwAADgAAAAAAAAABACAAAAAeAQAA&#10;ZHJzL2Uyb0RvYy54bWxQSwUGAAAAAAYABgBZAQAAK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77</w:t>
                    </w:r>
                    <w: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650801152"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7" name="4106"/>
              <wp:cNvGraphicFramePr/>
              <a:graphic xmlns:a="http://schemas.openxmlformats.org/drawingml/2006/main">
                <a:graphicData uri="http://schemas.microsoft.com/office/word/2010/wordprocessingGroup">
                  <wpg:wgp>
                    <wpg:cNvGrpSpPr/>
                    <wpg:grpSpPr>
                      <a:xfrm>
                        <a:off x="0" y="0"/>
                        <a:ext cx="5929630" cy="1270"/>
                        <a:chOff x="1104" y="1111"/>
                        <a:chExt cx="9338" cy="2203"/>
                      </a:xfrm>
                    </wpg:grpSpPr>
                    <wps:wsp>
                      <wps:cNvPr id="6" name="4107"/>
                      <wps:cNvSpPr/>
                      <wps:spPr>
                        <a:xfrm>
                          <a:off x="1104" y="1111"/>
                          <a:ext cx="9338" cy="2"/>
                        </a:xfrm>
                        <a:custGeom>
                          <a:avLst/>
                          <a:gdLst/>
                          <a:ahLst/>
                          <a:cxnLst/>
                          <a:pathLst>
                            <a:path w="9338" h="1">
                              <a:moveTo>
                                <a:pt x="0" y="0"/>
                              </a:moveTo>
                              <a:lnTo>
                                <a:pt x="9338" y="0"/>
                              </a:lnTo>
                            </a:path>
                          </a:pathLst>
                        </a:custGeom>
                        <a:noFill/>
                        <a:ln w="10414" cap="flat" cmpd="sng">
                          <a:solidFill>
                            <a:srgbClr val="000000"/>
                          </a:solidFill>
                          <a:prstDash val="solid"/>
                          <a:headEnd type="none" w="med" len="med"/>
                          <a:tailEnd type="none" w="med" len="med"/>
                        </a:ln>
                      </wps:spPr>
                      <wps:bodyPr upright="1"/>
                    </wps:wsp>
                  </wpg:wgp>
                </a:graphicData>
              </a:graphic>
            </wp:anchor>
          </w:drawing>
        </mc:Choice>
        <mc:Fallback>
          <w:pict>
            <v:group id="4106" o:spid="_x0000_s1026" o:spt="203" style="position:absolute;left:0pt;margin-left:55.2pt;margin-top:55.55pt;height:0.1pt;width:466.9pt;mso-position-horizontal-relative:page;mso-position-vertical-relative:page;z-index:-2147482624;mso-width-relative:page;mso-height-relative:page;" coordorigin="1104,1111" coordsize="9338,2203"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EykW62QAA&#10;AAwBAAAPAAAAAAAAAAEAIAAAACIAAABkcnMvZG93bnJldi54bWxQSwECFAAUAAAACACHTuJAEGx/&#10;DlYCAABbBQAADgAAAAAAAAABACAAAAAoAQAAZHJzL2Uyb0RvYy54bWxQSwUGAAAAAAYABgBZAQAA&#10;8AUAAAAA&#10;">
              <o:lock v:ext="edit" aspectratio="f"/>
              <v:shape id="4107" o:spid="_x0000_s1026" o:spt="100" style="position:absolute;left:1104;top:1111;height:2;width:9338;" filled="f" stroked="t" coordsize="9338,1" o:gfxdata="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uY9u8AAAA&#10;2gAAAA8AAAAAAAAAAQAgAAAAIgAAAGRycy9kb3ducmV2LnhtbFBLAQIUABQAAAAIAIdO4kAzLwWe&#10;OwAAADkAAAAQAAAAAAAAAAEAIAAAAAsBAABkcnMvc2hhcGV4bWwueG1sUEsFBgAAAAAGAAYAWwEA&#10;ALUDA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65080115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8" name="4108"/>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4108" o:spid="_x0000_s1026" o:spt="202" type="#_x0000_t202" style="position:absolute;left:0pt;margin-left:78.35pt;margin-top:42.75pt;height:11pt;width:128pt;mso-position-horizontal-relative:page;mso-position-vertical-relative:page;z-index:-2147482624;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6nR7U2AAAAAoBAAAPAAAAAAAAAAEAIAAAACIAAABkcnMvZG93bnJl&#10;di54bWxQSwECFAAUAAAACACHTuJAJ/OlJosBAAAdAwAADgAAAAAAAAABACAAAAAnAQAAZHJzL2Uy&#10;b0RvYy54bWxQSwUGAAAAAAYABgBZAQAAJA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65080115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9" name="4109"/>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4109" o:spid="_x0000_s1026" o:spt="202" type="#_x0000_t202" style="position:absolute;left:0pt;margin-left:389.05pt;margin-top:42.75pt;height:11pt;width:109.9pt;mso-position-horizontal-relative:page;mso-position-vertical-relative:page;z-index:-214748262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Ozd/yHZAAAACgEAAA8AAAAAAAAAAQAgAAAAIgAAAGRycy9kb3du&#10;cmV2LnhtbFBLAQIUABQAAAAIAIdO4kABn/m7jAEAAB0DAAAOAAAAAAAAAAEAIAAAACgBAABkcnMv&#10;ZTJvRG9jLnhtbFBLBQYAAAAABgAGAFkBAAAm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671CD"/>
    <w:rsid w:val="1F26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Table Paragraph"/>
    <w:basedOn w:val="1"/>
    <w:qFormat/>
    <w:uiPriority w:val="1"/>
    <w:rPr>
      <w:rFonts w:ascii="宋体" w:hAnsi="宋体" w:cs="宋体"/>
      <w:lang w:val="zh-CN" w:bidi="zh-CN"/>
    </w:rPr>
  </w:style>
  <w:style w:type="paragraph" w:customStyle="1" w:styleId="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2020-08-18T09:41:00Z</dcterms:created>
  <dc:creator>钟明娟</dc:creator>
  <cp:lastModifiedBy>钟明娟</cp:lastModifiedBy>
  <dcterms:modified xsi:type="dcterms:W3CDTF">2020-08-18T09:41:56Z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