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附表一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cs="仿宋"/>
          <w:b/>
          <w:bCs/>
          <w:color w:val="auto"/>
          <w:sz w:val="28"/>
          <w:szCs w:val="28"/>
        </w:rPr>
        <w:t>成绵扩容项目TJ</w:t>
      </w: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cs="仿宋"/>
          <w:b/>
          <w:bCs/>
          <w:color w:val="auto"/>
          <w:sz w:val="28"/>
          <w:szCs w:val="28"/>
        </w:rPr>
        <w:t>标段</w:t>
      </w:r>
      <w:r>
        <w:rPr>
          <w:rFonts w:hint="eastAsia" w:cs="仿宋"/>
          <w:b/>
          <w:bCs/>
          <w:color w:val="auto"/>
          <w:sz w:val="28"/>
          <w:szCs w:val="28"/>
          <w:lang w:eastAsia="zh-CN"/>
        </w:rPr>
        <w:t>临</w:t>
      </w:r>
      <w:r>
        <w:rPr>
          <w:rFonts w:hint="eastAsia" w:cs="仿宋"/>
          <w:b/>
          <w:bCs/>
          <w:color w:val="auto"/>
          <w:sz w:val="28"/>
          <w:szCs w:val="28"/>
        </w:rPr>
        <w:t>建设工程劳务协作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段划分、工程规模、工期统计表</w:t>
      </w:r>
    </w:p>
    <w:p>
      <w:pPr>
        <w:pStyle w:val="8"/>
        <w:rPr>
          <w:rFonts w:hint="eastAsia" w:ascii="仿宋" w:hAnsi="仿宋" w:eastAsia="仿宋" w:cs="仿宋"/>
          <w:color w:val="auto"/>
        </w:rPr>
      </w:pPr>
    </w:p>
    <w:tbl>
      <w:tblPr>
        <w:tblStyle w:val="6"/>
        <w:tblpPr w:leftFromText="180" w:rightFromText="180" w:vertAnchor="text" w:horzAnchor="page" w:tblpXSpec="center" w:tblpY="192"/>
        <w:tblOverlap w:val="never"/>
        <w:tblW w:w="89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71"/>
        <w:gridCol w:w="3068"/>
        <w:gridCol w:w="1482"/>
        <w:gridCol w:w="1096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7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分段名称</w:t>
            </w:r>
          </w:p>
        </w:tc>
        <w:tc>
          <w:tcPr>
            <w:tcW w:w="30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工程范围</w:t>
            </w:r>
          </w:p>
        </w:tc>
        <w:tc>
          <w:tcPr>
            <w:tcW w:w="1482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工作内容</w:t>
            </w:r>
          </w:p>
        </w:tc>
        <w:tc>
          <w:tcPr>
            <w:tcW w:w="1096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工期</w:t>
            </w:r>
          </w:p>
        </w:tc>
        <w:tc>
          <w:tcPr>
            <w:tcW w:w="119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7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TJ8-12</w:t>
            </w:r>
          </w:p>
        </w:tc>
        <w:tc>
          <w:tcPr>
            <w:tcW w:w="30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所有临建的场平，项目部驻地、工人驻地、工地试验室等</w:t>
            </w:r>
          </w:p>
        </w:tc>
        <w:tc>
          <w:tcPr>
            <w:tcW w:w="1482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详见招标清单</w:t>
            </w:r>
          </w:p>
        </w:tc>
        <w:tc>
          <w:tcPr>
            <w:tcW w:w="1096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2个月</w:t>
            </w:r>
          </w:p>
        </w:tc>
        <w:tc>
          <w:tcPr>
            <w:tcW w:w="119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TJ8-13</w:t>
            </w:r>
          </w:p>
        </w:tc>
        <w:tc>
          <w:tcPr>
            <w:tcW w:w="30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混凝土拌和站、箱梁预制场、箱梁钢筋加工场土建部分等</w:t>
            </w:r>
          </w:p>
        </w:tc>
        <w:tc>
          <w:tcPr>
            <w:tcW w:w="1482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详见招标清单</w:t>
            </w:r>
          </w:p>
        </w:tc>
        <w:tc>
          <w:tcPr>
            <w:tcW w:w="1096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6个月</w:t>
            </w:r>
          </w:p>
        </w:tc>
        <w:tc>
          <w:tcPr>
            <w:tcW w:w="119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8"/>
        <w:rPr>
          <w:color w:val="auto"/>
        </w:rPr>
      </w:pPr>
    </w:p>
    <w:p>
      <w:pPr>
        <w:pStyle w:val="8"/>
        <w:rPr>
          <w:color w:val="auto"/>
        </w:rPr>
      </w:pPr>
    </w:p>
    <w:p>
      <w:pPr>
        <w:pStyle w:val="8"/>
        <w:rPr>
          <w:color w:val="auto"/>
        </w:rPr>
      </w:pPr>
    </w:p>
    <w:p>
      <w:pPr>
        <w:pStyle w:val="8"/>
        <w:rPr>
          <w:color w:val="auto"/>
        </w:rPr>
      </w:pPr>
    </w:p>
    <w:p>
      <w:pPr>
        <w:pStyle w:val="8"/>
        <w:ind w:firstLine="0"/>
        <w:jc w:val="left"/>
        <w:rPr>
          <w:rFonts w:hint="default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附表二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jc w:val="center"/>
        <w:textAlignment w:val="auto"/>
        <w:rPr>
          <w:rFonts w:cs="仿宋"/>
          <w:b/>
          <w:bCs/>
          <w:color w:val="auto"/>
          <w:sz w:val="28"/>
          <w:szCs w:val="28"/>
        </w:rPr>
      </w:pPr>
      <w:r>
        <w:rPr>
          <w:rFonts w:hint="eastAsia" w:cs="仿宋"/>
          <w:b/>
          <w:bCs/>
          <w:color w:val="auto"/>
          <w:sz w:val="28"/>
          <w:szCs w:val="28"/>
        </w:rPr>
        <w:t>成绵扩容项目TJ</w:t>
      </w: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cs="仿宋"/>
          <w:b/>
          <w:bCs/>
          <w:color w:val="auto"/>
          <w:sz w:val="28"/>
          <w:szCs w:val="28"/>
        </w:rPr>
        <w:t>标段</w:t>
      </w:r>
      <w:r>
        <w:rPr>
          <w:rFonts w:hint="eastAsia" w:cs="仿宋"/>
          <w:b/>
          <w:bCs/>
          <w:color w:val="auto"/>
          <w:sz w:val="28"/>
          <w:szCs w:val="28"/>
          <w:lang w:eastAsia="zh-CN"/>
        </w:rPr>
        <w:t>临</w:t>
      </w:r>
      <w:r>
        <w:rPr>
          <w:rFonts w:hint="eastAsia" w:cs="仿宋"/>
          <w:b/>
          <w:bCs/>
          <w:color w:val="auto"/>
          <w:sz w:val="28"/>
          <w:szCs w:val="28"/>
        </w:rPr>
        <w:t>建设工程劳务协作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1" w:line="360" w:lineRule="exact"/>
        <w:ind w:right="-94"/>
        <w:jc w:val="center"/>
        <w:textAlignment w:val="auto"/>
        <w:rPr>
          <w:rFonts w:ascii="仿宋" w:hAnsi="仿宋" w:eastAsia="仿宋" w:cs="仿宋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资格审查条件（资质最低要求）</w:t>
      </w:r>
    </w:p>
    <w:p>
      <w:pPr>
        <w:pStyle w:val="8"/>
        <w:rPr>
          <w:rFonts w:cs="仿宋"/>
          <w:color w:val="auto"/>
        </w:rPr>
      </w:pPr>
    </w:p>
    <w:tbl>
      <w:tblPr>
        <w:tblStyle w:val="7"/>
        <w:tblW w:w="8778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379"/>
        <w:gridCol w:w="3378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3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79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分段</w:t>
            </w:r>
          </w:p>
        </w:tc>
        <w:tc>
          <w:tcPr>
            <w:tcW w:w="337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资质要求</w:t>
            </w:r>
          </w:p>
        </w:tc>
        <w:tc>
          <w:tcPr>
            <w:tcW w:w="229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3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TJ8-12分段</w:t>
            </w:r>
          </w:p>
        </w:tc>
        <w:tc>
          <w:tcPr>
            <w:tcW w:w="33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具有住房和城乡建设部颁发的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公路总承包三级或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施工劳务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及以上资质</w:t>
            </w:r>
          </w:p>
        </w:tc>
        <w:tc>
          <w:tcPr>
            <w:tcW w:w="22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23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79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TJ8-13分段</w:t>
            </w:r>
          </w:p>
        </w:tc>
        <w:tc>
          <w:tcPr>
            <w:tcW w:w="33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具有住房和城乡建设部颁发的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公路总承包三级或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施工劳务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及以上资质</w:t>
            </w:r>
          </w:p>
        </w:tc>
        <w:tc>
          <w:tcPr>
            <w:tcW w:w="22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8"/>
        <w:ind w:firstLine="0"/>
        <w:rPr>
          <w:rFonts w:cs="仿宋"/>
          <w:b/>
          <w:bCs/>
          <w:color w:val="auto"/>
          <w:sz w:val="32"/>
          <w:szCs w:val="32"/>
        </w:rPr>
      </w:pPr>
    </w:p>
    <w:p>
      <w:pPr>
        <w:pStyle w:val="8"/>
        <w:ind w:firstLine="0"/>
        <w:rPr>
          <w:rFonts w:cs="仿宋"/>
          <w:b/>
          <w:bCs/>
          <w:color w:val="auto"/>
          <w:sz w:val="32"/>
          <w:szCs w:val="32"/>
        </w:rPr>
      </w:pPr>
    </w:p>
    <w:p>
      <w:pPr>
        <w:pStyle w:val="8"/>
        <w:ind w:firstLine="0"/>
        <w:rPr>
          <w:rFonts w:cs="仿宋"/>
          <w:b/>
          <w:bCs/>
          <w:color w:val="auto"/>
          <w:sz w:val="32"/>
          <w:szCs w:val="32"/>
        </w:rPr>
      </w:pPr>
    </w:p>
    <w:p>
      <w:pPr>
        <w:pStyle w:val="8"/>
        <w:ind w:firstLine="0"/>
        <w:rPr>
          <w:rFonts w:cs="仿宋"/>
          <w:b/>
          <w:bCs/>
          <w:color w:val="auto"/>
          <w:sz w:val="32"/>
          <w:szCs w:val="32"/>
        </w:rPr>
      </w:pPr>
    </w:p>
    <w:p>
      <w:pPr>
        <w:pStyle w:val="8"/>
        <w:ind w:firstLine="0"/>
        <w:rPr>
          <w:rFonts w:cs="仿宋"/>
          <w:b/>
          <w:bCs/>
          <w:color w:val="auto"/>
          <w:sz w:val="32"/>
          <w:szCs w:val="32"/>
        </w:rPr>
      </w:pPr>
    </w:p>
    <w:p>
      <w:pPr>
        <w:pStyle w:val="8"/>
        <w:ind w:firstLine="0"/>
        <w:jc w:val="left"/>
        <w:rPr>
          <w:rFonts w:hint="eastAsia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cs="仿宋"/>
          <w:b/>
          <w:bCs/>
          <w:color w:val="auto"/>
          <w:sz w:val="28"/>
          <w:szCs w:val="28"/>
        </w:rPr>
        <w:t>附表</w:t>
      </w:r>
      <w:r>
        <w:rPr>
          <w:rFonts w:hint="eastAsia" w:cs="仿宋"/>
          <w:b/>
          <w:bCs/>
          <w:color w:val="auto"/>
          <w:sz w:val="28"/>
          <w:szCs w:val="28"/>
          <w:lang w:val="en-US" w:eastAsia="zh-CN"/>
        </w:rPr>
        <w:t>三</w:t>
      </w:r>
    </w:p>
    <w:tbl>
      <w:tblPr>
        <w:tblStyle w:val="6"/>
        <w:tblpPr w:leftFromText="180" w:rightFromText="180" w:vertAnchor="text" w:tblpY="1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655"/>
        <w:gridCol w:w="2848"/>
        <w:gridCol w:w="1073"/>
        <w:gridCol w:w="2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9160" w:type="dxa"/>
            <w:gridSpan w:val="5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rPr>
                <w:rFonts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"/>
                <w:b/>
                <w:bCs/>
                <w:color w:val="auto"/>
                <w:sz w:val="28"/>
                <w:szCs w:val="28"/>
              </w:rPr>
              <w:t>成绵扩容项目TJ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</w:rPr>
              <w:t>标段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  <w:lang w:eastAsia="zh-CN"/>
              </w:rPr>
              <w:t>临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</w:rPr>
              <w:t>建设工程劳务协作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拟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bidi="ar"/>
              </w:rPr>
              <w:t>投入人员配置表(最低要求）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（TJ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段、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TJ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工作任务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牵头负责项目总体工作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项目技术负责人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协助项目负责人负责项目进度、质量工作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安全员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协助项目负责人负责安全管理工作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持安全C证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9160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注：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 xml:space="preserve">1、本表为主要人员的最低要求，投标人应根据施工需要或招标人的要求增加相关专业技术人员。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2、如因投标人的原因(除不可抗拒因素外)更换上述主要人员，须报请招标人批准，更换人员的资质不能低于招标文件要求，自行更换主要负责人的，对投标人按每人次追究5万元人民币违约金。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3、相关管理人员及技术人员必须在岗，有特殊情况离岗必须向项目部请假并得到批准。</w:t>
            </w:r>
          </w:p>
        </w:tc>
      </w:tr>
    </w:tbl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rPr>
          <w:color w:val="auto"/>
        </w:rPr>
      </w:pPr>
    </w:p>
    <w:p>
      <w:pPr>
        <w:rPr>
          <w:color w:val="auto"/>
        </w:rPr>
      </w:pPr>
    </w:p>
    <w:p>
      <w:pPr>
        <w:pStyle w:val="8"/>
        <w:ind w:firstLine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附表四</w:t>
      </w:r>
    </w:p>
    <w:tbl>
      <w:tblPr>
        <w:tblStyle w:val="6"/>
        <w:tblW w:w="8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868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"/>
                <w:b/>
                <w:bCs/>
                <w:color w:val="auto"/>
                <w:sz w:val="28"/>
                <w:szCs w:val="28"/>
              </w:rPr>
              <w:t>成绵扩容项目TJ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</w:rPr>
              <w:t>标段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  <w:lang w:eastAsia="zh-CN"/>
              </w:rPr>
              <w:t>临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</w:rPr>
              <w:t>建设工程劳务协作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拟投入设备明细表(最低要求）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（TJ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4" w:hRule="atLeast"/>
        </w:trPr>
        <w:tc>
          <w:tcPr>
            <w:tcW w:w="868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  <w:tbl>
            <w:tblPr>
              <w:tblStyle w:val="6"/>
              <w:tblW w:w="8552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"/>
              <w:gridCol w:w="1566"/>
              <w:gridCol w:w="900"/>
              <w:gridCol w:w="717"/>
              <w:gridCol w:w="1000"/>
              <w:gridCol w:w="717"/>
              <w:gridCol w:w="1083"/>
              <w:gridCol w:w="783"/>
              <w:gridCol w:w="1128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  <w:jc w:val="center"/>
              </w:trPr>
              <w:tc>
                <w:tcPr>
                  <w:tcW w:w="65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序号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机械设备名称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规格、型号</w:t>
                  </w:r>
                </w:p>
              </w:tc>
              <w:tc>
                <w:tcPr>
                  <w:tcW w:w="7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单位</w:t>
                  </w:r>
                </w:p>
              </w:tc>
              <w:tc>
                <w:tcPr>
                  <w:tcW w:w="171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基本要求</w:t>
                  </w:r>
                </w:p>
              </w:tc>
              <w:tc>
                <w:tcPr>
                  <w:tcW w:w="10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每增加一台自有设备加分值</w:t>
                  </w:r>
                </w:p>
              </w:tc>
              <w:tc>
                <w:tcPr>
                  <w:tcW w:w="7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加分上限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  <w:jc w:val="center"/>
              </w:trPr>
              <w:tc>
                <w:tcPr>
                  <w:tcW w:w="658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1566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900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717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总数量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自有设备</w:t>
                  </w:r>
                </w:p>
              </w:tc>
              <w:tc>
                <w:tcPr>
                  <w:tcW w:w="1083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1128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  <w:jc w:val="center"/>
              </w:trPr>
              <w:tc>
                <w:tcPr>
                  <w:tcW w:w="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挖掘机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1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240</w:t>
                  </w:r>
                  <w:r>
                    <w:rPr>
                      <w:rFonts w:hint="eastAsia" w:ascii="仿宋" w:hAnsi="仿宋" w:eastAsia="仿宋" w:cs="仿宋"/>
                      <w:color w:val="auto"/>
                    </w:rPr>
                    <w:t>及以上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自有设备需提供购买发票或公证机关出具的公证书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1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装载机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50型及</w:t>
                  </w:r>
                  <w:r>
                    <w:rPr>
                      <w:rFonts w:hint="eastAsia" w:ascii="仿宋" w:hAnsi="仿宋" w:eastAsia="仿宋" w:cs="仿宋"/>
                      <w:color w:val="auto"/>
                    </w:rPr>
                    <w:t>以上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1128" w:type="dxa"/>
                  <w:vMerge w:val="continue"/>
                  <w:tcBorders>
                    <w:left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3</w:t>
                  </w:r>
                </w:p>
              </w:tc>
              <w:tc>
                <w:tcPr>
                  <w:tcW w:w="1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自卸汽车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20方及以上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28" w:type="dxa"/>
                  <w:vMerge w:val="continue"/>
                  <w:tcBorders>
                    <w:left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4</w:t>
                  </w:r>
                </w:p>
              </w:tc>
              <w:tc>
                <w:tcPr>
                  <w:tcW w:w="1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压路机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10T及以上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112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8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080" w:hRule="atLeast"/>
        </w:trPr>
        <w:tc>
          <w:tcPr>
            <w:tcW w:w="86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cs="仿宋"/>
                <w:b/>
                <w:bCs/>
                <w:color w:val="auto"/>
                <w:sz w:val="28"/>
                <w:szCs w:val="28"/>
              </w:rPr>
              <w:t>成绵扩容项目TJ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</w:rPr>
              <w:t>标段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  <w:lang w:eastAsia="zh-CN"/>
              </w:rPr>
              <w:t>临</w:t>
            </w:r>
            <w:r>
              <w:rPr>
                <w:rFonts w:hint="eastAsia" w:cs="仿宋"/>
                <w:b/>
                <w:bCs/>
                <w:color w:val="auto"/>
                <w:sz w:val="28"/>
                <w:szCs w:val="28"/>
              </w:rPr>
              <w:t>建设工程劳务协作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拟投入设备明细表(最低要求）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（TJ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982" w:hRule="atLeast"/>
        </w:trPr>
        <w:tc>
          <w:tcPr>
            <w:tcW w:w="86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  <w:tbl>
            <w:tblPr>
              <w:tblStyle w:val="6"/>
              <w:tblW w:w="8552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"/>
              <w:gridCol w:w="1566"/>
              <w:gridCol w:w="900"/>
              <w:gridCol w:w="717"/>
              <w:gridCol w:w="1000"/>
              <w:gridCol w:w="717"/>
              <w:gridCol w:w="1083"/>
              <w:gridCol w:w="783"/>
              <w:gridCol w:w="1128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  <w:jc w:val="center"/>
              </w:trPr>
              <w:tc>
                <w:tcPr>
                  <w:tcW w:w="65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序号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机械设备名称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规格、型号</w:t>
                  </w:r>
                </w:p>
              </w:tc>
              <w:tc>
                <w:tcPr>
                  <w:tcW w:w="7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单位</w:t>
                  </w:r>
                </w:p>
              </w:tc>
              <w:tc>
                <w:tcPr>
                  <w:tcW w:w="171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基本要求</w:t>
                  </w:r>
                </w:p>
              </w:tc>
              <w:tc>
                <w:tcPr>
                  <w:tcW w:w="10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每增加一台自有设备加分值</w:t>
                  </w:r>
                </w:p>
              </w:tc>
              <w:tc>
                <w:tcPr>
                  <w:tcW w:w="7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加分上限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  <w:jc w:val="center"/>
              </w:trPr>
              <w:tc>
                <w:tcPr>
                  <w:tcW w:w="658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1566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900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717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总数量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自有设备</w:t>
                  </w:r>
                </w:p>
              </w:tc>
              <w:tc>
                <w:tcPr>
                  <w:tcW w:w="1083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  <w:tc>
                <w:tcPr>
                  <w:tcW w:w="1128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  <w:jc w:val="center"/>
              </w:trPr>
              <w:tc>
                <w:tcPr>
                  <w:tcW w:w="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挖掘机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1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60</w:t>
                  </w:r>
                  <w:r>
                    <w:rPr>
                      <w:rFonts w:hint="eastAsia" w:ascii="仿宋" w:hAnsi="仿宋" w:eastAsia="仿宋" w:cs="仿宋"/>
                      <w:color w:val="auto"/>
                    </w:rPr>
                    <w:t>及以上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</w:rPr>
                    <w:t>自有设备需提供购买发票或公证机关出具的公证书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1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自卸汽车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20方及以上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7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12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3</w:t>
                  </w:r>
                </w:p>
              </w:tc>
              <w:tc>
                <w:tcPr>
                  <w:tcW w:w="15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装载机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50及</w:t>
                  </w:r>
                  <w:r>
                    <w:rPr>
                      <w:rFonts w:hint="eastAsia" w:ascii="仿宋" w:hAnsi="仿宋" w:eastAsia="仿宋" w:cs="仿宋"/>
                      <w:color w:val="auto"/>
                    </w:rPr>
                    <w:t>以上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val="en-US" w:eastAsia="zh-CN"/>
                    </w:rPr>
                    <w:t>2</w:t>
                  </w:r>
                </w:p>
              </w:tc>
              <w:tc>
                <w:tcPr>
                  <w:tcW w:w="112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auto"/>
                    </w:rPr>
                  </w:pP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pStyle w:val="8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1、若招标人认为投标人配备的机械设备不能满足现场施工的需要，或不能保证工程质量和进度时，招标人有权要求投标人增加</w:t>
      </w:r>
      <w:r>
        <w:rPr>
          <w:rFonts w:hint="eastAsia" w:ascii="仿宋" w:hAnsi="仿宋" w:eastAsia="仿宋" w:cs="仿宋"/>
          <w:color w:val="auto"/>
          <w:lang w:val="en-US" w:eastAsia="zh-CN"/>
        </w:rPr>
        <w:t>,不增加费用</w:t>
      </w:r>
      <w:r>
        <w:rPr>
          <w:rFonts w:hint="eastAsia" w:ascii="仿宋" w:hAnsi="仿宋" w:eastAsia="仿宋" w:cs="仿宋"/>
          <w:color w:val="auto"/>
        </w:rPr>
        <w:t>。</w:t>
      </w:r>
    </w:p>
    <w:p>
      <w:pPr>
        <w:ind w:firstLine="210" w:firstLineChars="1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2、本表中的总数量为承包人中标后向发包人承诺的投入最低设备要求，并以书面形式纳入合同附件。</w:t>
      </w:r>
    </w:p>
    <w:p>
      <w:pPr>
        <w:pStyle w:val="8"/>
        <w:ind w:left="0" w:leftChars="0" w:firstLine="200" w:firstLineChars="100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Cs w:val="21"/>
          <w:lang w:val="en-US" w:eastAsia="zh-CN"/>
        </w:rPr>
        <w:t>3、</w:t>
      </w:r>
      <w:r>
        <w:rPr>
          <w:rFonts w:hint="eastAsia" w:cs="仿宋"/>
          <w:color w:val="auto"/>
          <w:szCs w:val="21"/>
          <w:lang w:val="en-US" w:eastAsia="zh-CN"/>
        </w:rPr>
        <w:t>所有设备购买年限均应在5年以内。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049A0"/>
    <w:rsid w:val="18D0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eastAsia="微软雅黑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2020-08-14T09:03:00Z</dcterms:created>
  <dc:creator>钟明娟</dc:creator>
  <cp:lastModifiedBy>钟明娟</cp:lastModifiedBy>
  <dcterms:modified xsi:type="dcterms:W3CDTF">2020-08-14T09:04:12Z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