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8"/>
        <w:tabs>
          <w:tab w:val="right" w:leader="dot" w:pos="8306"/>
        </w:tabs>
        <w:jc w:val="center"/>
        <w:rPr>
          <w:rFonts w:ascii="仿宋" w:hAnsi="仿宋" w:eastAsia="仿宋" w:cs="仿宋"/>
          <w:b/>
          <w:bCs/>
          <w:sz w:val="32"/>
          <w:szCs w:val="32"/>
        </w:rPr>
      </w:pPr>
    </w:p>
    <w:tbl>
      <w:tblPr>
        <w:tblStyle w:val="6"/>
        <w:tblW w:w="9320" w:type="dxa"/>
        <w:tblInd w:w="0" w:type="dxa"/>
        <w:tblLayout w:type="fixed"/>
        <w:tblCellMar>
          <w:top w:w="0" w:type="dxa"/>
          <w:left w:w="0" w:type="dxa"/>
          <w:bottom w:w="0" w:type="dxa"/>
          <w:right w:w="0" w:type="dxa"/>
        </w:tblCellMar>
      </w:tblPr>
      <w:tblGrid>
        <w:gridCol w:w="873"/>
        <w:gridCol w:w="1792"/>
        <w:gridCol w:w="1425"/>
        <w:gridCol w:w="1238"/>
        <w:gridCol w:w="1331"/>
        <w:gridCol w:w="1275"/>
        <w:gridCol w:w="1386"/>
      </w:tblGrid>
      <w:tr>
        <w:tblPrEx>
          <w:tblLayout w:type="fixed"/>
          <w:tblCellMar>
            <w:top w:w="0" w:type="dxa"/>
            <w:left w:w="0" w:type="dxa"/>
            <w:bottom w:w="0" w:type="dxa"/>
            <w:right w:w="0" w:type="dxa"/>
          </w:tblCellMar>
        </w:tblPrEx>
        <w:trPr>
          <w:trHeight w:val="687" w:hRule="atLeast"/>
        </w:trPr>
        <w:tc>
          <w:tcPr>
            <w:tcW w:w="932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sz w:val="28"/>
                <w:szCs w:val="28"/>
                <w:u w:val="single"/>
              </w:rPr>
            </w:pPr>
            <w:r>
              <w:rPr>
                <w:rStyle w:val="9"/>
                <w:rFonts w:hint="default"/>
                <w:color w:val="0D0D0D" w:themeColor="text1" w:themeTint="F2"/>
                <w:sz w:val="24"/>
                <w:szCs w:val="24"/>
                <w:lang w:bidi="ar"/>
                <w14:textFill>
                  <w14:solidFill>
                    <w14:schemeClr w14:val="tx1">
                      <w14:lumMod w14:val="95000"/>
                      <w14:lumOff w14:val="5000"/>
                    </w14:schemeClr>
                  </w14:solidFill>
                </w14:textFill>
              </w:rPr>
              <w:t>泸石高速TJ4</w:t>
            </w:r>
            <w:r>
              <w:rPr>
                <w:rStyle w:val="9"/>
                <w:rFonts w:hint="default"/>
                <w:color w:val="auto"/>
                <w:sz w:val="24"/>
                <w:szCs w:val="24"/>
                <w:lang w:bidi="ar"/>
              </w:rPr>
              <w:t>-1</w:t>
            </w:r>
            <w:r>
              <w:rPr>
                <w:rStyle w:val="9"/>
                <w:rFonts w:hint="eastAsia"/>
                <w:color w:val="auto"/>
                <w:sz w:val="24"/>
                <w:szCs w:val="24"/>
                <w:lang w:val="en-US" w:eastAsia="zh-CN" w:bidi="ar"/>
              </w:rPr>
              <w:t>分</w:t>
            </w:r>
            <w:r>
              <w:rPr>
                <w:rStyle w:val="9"/>
                <w:rFonts w:hint="default"/>
                <w:color w:val="auto"/>
                <w:sz w:val="24"/>
                <w:szCs w:val="24"/>
                <w:lang w:bidi="ar"/>
              </w:rPr>
              <w:t>段投入设备明细表（最低要求）</w:t>
            </w:r>
          </w:p>
        </w:tc>
      </w:tr>
      <w:tr>
        <w:tblPrEx>
          <w:tblLayout w:type="fixed"/>
          <w:tblCellMar>
            <w:top w:w="0" w:type="dxa"/>
            <w:left w:w="0" w:type="dxa"/>
            <w:bottom w:w="0" w:type="dxa"/>
            <w:right w:w="0" w:type="dxa"/>
          </w:tblCellMar>
        </w:tblPrEx>
        <w:trPr>
          <w:trHeight w:val="648"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名称</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型号</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单位</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数量</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自有数量</w:t>
            </w: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备注</w:t>
            </w:r>
          </w:p>
        </w:tc>
      </w:tr>
      <w:tr>
        <w:tblPrEx>
          <w:tblLayout w:type="fixed"/>
          <w:tblCellMar>
            <w:top w:w="0" w:type="dxa"/>
            <w:left w:w="0" w:type="dxa"/>
            <w:bottom w:w="0" w:type="dxa"/>
            <w:right w:w="0" w:type="dxa"/>
          </w:tblCellMar>
        </w:tblPrEx>
        <w:trPr>
          <w:trHeight w:val="616"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砼搅拌站</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120型</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rPr>
            </w:pPr>
          </w:p>
        </w:tc>
      </w:tr>
      <w:tr>
        <w:tblPrEx>
          <w:tblLayout w:type="fixed"/>
          <w:tblCellMar>
            <w:top w:w="0" w:type="dxa"/>
            <w:left w:w="0" w:type="dxa"/>
            <w:bottom w:w="0" w:type="dxa"/>
            <w:right w:w="0" w:type="dxa"/>
          </w:tblCellMar>
        </w:tblPrEx>
        <w:trPr>
          <w:trHeight w:val="616"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砼搅拌站</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90型</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rPr>
            </w:pPr>
          </w:p>
        </w:tc>
      </w:tr>
      <w:tr>
        <w:tblPrEx>
          <w:tblLayout w:type="fixed"/>
          <w:tblCellMar>
            <w:top w:w="0" w:type="dxa"/>
            <w:left w:w="0" w:type="dxa"/>
            <w:bottom w:w="0" w:type="dxa"/>
            <w:right w:w="0" w:type="dxa"/>
          </w:tblCellMar>
        </w:tblPrEx>
        <w:trPr>
          <w:trHeight w:val="569"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砼运输车</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8～12</w:t>
            </w:r>
            <w:r>
              <w:rPr>
                <w:rFonts w:hint="eastAsia" w:ascii="宋体" w:hAnsi="宋体" w:cs="宋体"/>
                <w:kern w:val="0"/>
                <w:szCs w:val="21"/>
                <w:lang w:val="en-US" w:eastAsia="zh-CN" w:bidi="ar"/>
              </w:rPr>
              <w:t>m³</w:t>
            </w:r>
            <w:r>
              <w:rPr>
                <w:rFonts w:hint="eastAsia" w:ascii="宋体" w:hAnsi="宋体" w:cs="宋体"/>
                <w:kern w:val="0"/>
                <w:szCs w:val="21"/>
                <w:lang w:bidi="ar"/>
              </w:rPr>
              <w:t xml:space="preserve"> </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辆</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p>
        </w:tc>
      </w:tr>
      <w:tr>
        <w:tblPrEx>
          <w:tblLayout w:type="fixed"/>
          <w:tblCellMar>
            <w:top w:w="0" w:type="dxa"/>
            <w:left w:w="0" w:type="dxa"/>
            <w:bottom w:w="0" w:type="dxa"/>
            <w:right w:w="0" w:type="dxa"/>
          </w:tblCellMar>
        </w:tblPrEx>
        <w:trPr>
          <w:trHeight w:val="546"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装载机</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ZL50</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台</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p>
        </w:tc>
      </w:tr>
      <w:tr>
        <w:tblPrEx>
          <w:tblLayout w:type="fixed"/>
          <w:tblCellMar>
            <w:top w:w="0" w:type="dxa"/>
            <w:left w:w="0" w:type="dxa"/>
            <w:bottom w:w="0" w:type="dxa"/>
            <w:right w:w="0" w:type="dxa"/>
          </w:tblCellMar>
        </w:tblPrEx>
        <w:trPr>
          <w:trHeight w:val="564"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粉罐</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不低于100T</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个</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10</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p>
        </w:tc>
      </w:tr>
      <w:tr>
        <w:tblPrEx>
          <w:tblLayout w:type="fixed"/>
          <w:tblCellMar>
            <w:top w:w="0" w:type="dxa"/>
            <w:left w:w="0" w:type="dxa"/>
            <w:bottom w:w="0" w:type="dxa"/>
            <w:right w:w="0" w:type="dxa"/>
          </w:tblCellMar>
        </w:tblPrEx>
        <w:trPr>
          <w:trHeight w:val="485"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6</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地磅</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不低于100T</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台</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rPr>
            </w:pPr>
          </w:p>
        </w:tc>
      </w:tr>
      <w:tr>
        <w:tblPrEx>
          <w:tblLayout w:type="fixed"/>
          <w:tblCellMar>
            <w:top w:w="0" w:type="dxa"/>
            <w:left w:w="0" w:type="dxa"/>
            <w:bottom w:w="0" w:type="dxa"/>
            <w:right w:w="0" w:type="dxa"/>
          </w:tblCellMar>
        </w:tblPrEx>
        <w:trPr>
          <w:trHeight w:val="485"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7</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发电机</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w:t>
            </w:r>
            <w:r>
              <w:rPr>
                <w:rFonts w:ascii="宋体" w:hAnsi="宋体" w:cs="宋体"/>
                <w:kern w:val="0"/>
                <w:szCs w:val="21"/>
                <w:lang w:bidi="ar"/>
              </w:rPr>
              <w:t>00KW</w:t>
            </w:r>
          </w:p>
        </w:tc>
        <w:tc>
          <w:tcPr>
            <w:tcW w:w="12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台</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rPr>
            </w:pPr>
          </w:p>
        </w:tc>
      </w:tr>
    </w:tbl>
    <w:p>
      <w:pPr>
        <w:widowControl/>
        <w:textAlignment w:val="center"/>
        <w:rPr>
          <w:rStyle w:val="9"/>
          <w:rFonts w:hint="default"/>
          <w:bCs/>
          <w:color w:val="auto"/>
          <w:lang w:bidi="ar"/>
        </w:rPr>
      </w:pPr>
    </w:p>
    <w:p>
      <w:pPr>
        <w:widowControl/>
        <w:textAlignment w:val="center"/>
        <w:rPr>
          <w:rStyle w:val="9"/>
          <w:rFonts w:hint="default"/>
          <w:bCs/>
          <w:color w:val="auto"/>
          <w:lang w:bidi="ar"/>
        </w:rPr>
      </w:pPr>
      <w:r>
        <w:rPr>
          <w:rStyle w:val="9"/>
          <w:rFonts w:hint="default"/>
          <w:bCs/>
          <w:color w:val="auto"/>
          <w:lang w:bidi="ar"/>
        </w:rPr>
        <w:t>注：设备需具备施工能力满足实际施工需要，自有设备须有购买发票或公证机关出具的公证书或其他有效证明资料。</w:t>
      </w:r>
    </w:p>
    <w:p/>
    <w:p>
      <w:pPr>
        <w:widowControl/>
        <w:jc w:val="center"/>
        <w:textAlignment w:val="center"/>
        <w:rPr>
          <w:rStyle w:val="9"/>
          <w:rFonts w:hint="default"/>
          <w:color w:val="auto"/>
          <w:sz w:val="24"/>
          <w:szCs w:val="24"/>
          <w:lang w:bidi="ar"/>
        </w:rPr>
      </w:pPr>
    </w:p>
    <w:p>
      <w:pPr>
        <w:jc w:val="center"/>
      </w:pPr>
      <w:r>
        <w:rPr>
          <w:rStyle w:val="9"/>
          <w:rFonts w:hint="default"/>
          <w:color w:val="auto"/>
          <w:sz w:val="24"/>
          <w:szCs w:val="24"/>
          <w:lang w:bidi="ar"/>
        </w:rPr>
        <w:t>泸石高速TJ4-1</w:t>
      </w:r>
      <w:r>
        <w:rPr>
          <w:rStyle w:val="9"/>
          <w:rFonts w:hint="eastAsia"/>
          <w:color w:val="auto"/>
          <w:sz w:val="24"/>
          <w:szCs w:val="24"/>
          <w:lang w:val="en-US" w:eastAsia="zh-CN" w:bidi="ar"/>
        </w:rPr>
        <w:t>分</w:t>
      </w:r>
      <w:r>
        <w:rPr>
          <w:rStyle w:val="9"/>
          <w:rFonts w:hint="default"/>
          <w:color w:val="auto"/>
          <w:sz w:val="24"/>
          <w:szCs w:val="24"/>
          <w:lang w:bidi="ar"/>
        </w:rPr>
        <w:t>段投入人员明细表（最低要求）</w:t>
      </w:r>
    </w:p>
    <w:tbl>
      <w:tblPr>
        <w:tblStyle w:val="6"/>
        <w:tblW w:w="9320" w:type="dxa"/>
        <w:tblInd w:w="0" w:type="dxa"/>
        <w:tblLayout w:type="fixed"/>
        <w:tblCellMar>
          <w:top w:w="0" w:type="dxa"/>
          <w:left w:w="0" w:type="dxa"/>
          <w:bottom w:w="0" w:type="dxa"/>
          <w:right w:w="0" w:type="dxa"/>
        </w:tblCellMar>
      </w:tblPr>
      <w:tblGrid>
        <w:gridCol w:w="873"/>
        <w:gridCol w:w="1980"/>
        <w:gridCol w:w="1387"/>
        <w:gridCol w:w="957"/>
        <w:gridCol w:w="4123"/>
      </w:tblGrid>
      <w:tr>
        <w:tblPrEx>
          <w:tblLayout w:type="fixed"/>
          <w:tblCellMar>
            <w:top w:w="0" w:type="dxa"/>
            <w:left w:w="0" w:type="dxa"/>
            <w:bottom w:w="0" w:type="dxa"/>
            <w:right w:w="0" w:type="dxa"/>
          </w:tblCellMar>
        </w:tblPrEx>
        <w:trPr>
          <w:trHeight w:val="648"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 种</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工作任务</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人数</w:t>
            </w:r>
          </w:p>
        </w:tc>
        <w:tc>
          <w:tcPr>
            <w:tcW w:w="4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备注</w:t>
            </w:r>
          </w:p>
        </w:tc>
      </w:tr>
      <w:tr>
        <w:tblPrEx>
          <w:tblLayout w:type="fixed"/>
          <w:tblCellMar>
            <w:top w:w="0" w:type="dxa"/>
            <w:left w:w="0" w:type="dxa"/>
            <w:bottom w:w="0" w:type="dxa"/>
            <w:right w:w="0" w:type="dxa"/>
          </w:tblCellMar>
        </w:tblPrEx>
        <w:trPr>
          <w:trHeight w:val="921"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项目负责人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生产管理</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4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ascii="宋体" w:hAnsi="宋体" w:cs="宋体"/>
                <w:sz w:val="20"/>
                <w:szCs w:val="20"/>
              </w:rPr>
              <w:t>有一个及以上类似施工管理经验。</w:t>
            </w:r>
          </w:p>
        </w:tc>
      </w:tr>
      <w:tr>
        <w:tblPrEx>
          <w:tblLayout w:type="fixed"/>
          <w:tblCellMar>
            <w:top w:w="0" w:type="dxa"/>
            <w:left w:w="0" w:type="dxa"/>
            <w:bottom w:w="0" w:type="dxa"/>
            <w:right w:w="0" w:type="dxa"/>
          </w:tblCellMar>
        </w:tblPrEx>
        <w:trPr>
          <w:trHeight w:val="897"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项目技术负责人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技术管理</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4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r>
              <w:rPr>
                <w:rFonts w:hint="eastAsia" w:ascii="宋体" w:hAnsi="宋体" w:cs="宋体"/>
                <w:sz w:val="20"/>
                <w:szCs w:val="20"/>
              </w:rPr>
              <w:t>中专及以上学历，有一个及以上类似施工管理经验。</w:t>
            </w:r>
          </w:p>
        </w:tc>
      </w:tr>
      <w:tr>
        <w:tblPrEx>
          <w:tblLayout w:type="fixed"/>
          <w:tblCellMar>
            <w:top w:w="0" w:type="dxa"/>
            <w:left w:w="0" w:type="dxa"/>
            <w:bottom w:w="0" w:type="dxa"/>
            <w:right w:w="0" w:type="dxa"/>
          </w:tblCellMar>
        </w:tblPrEx>
        <w:trPr>
          <w:trHeight w:val="936" w:hRule="atLeast"/>
        </w:trPr>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3</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安全负责人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安全管理</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4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2"/>
              </w:rPr>
            </w:pPr>
            <w:r>
              <w:rPr>
                <w:rFonts w:hint="eastAsia" w:ascii="宋体" w:hAnsi="宋体" w:cs="宋体"/>
                <w:sz w:val="20"/>
                <w:szCs w:val="20"/>
              </w:rPr>
              <w:t>一个及以上类似工程安全管理经验，具有主管部门（交通部或住建部）颁发的安全员C级资格证书。</w:t>
            </w:r>
          </w:p>
        </w:tc>
      </w:tr>
    </w:tbl>
    <w:p>
      <w:pPr>
        <w:rPr>
          <w:sz w:val="18"/>
          <w:szCs w:val="18"/>
        </w:rPr>
      </w:pPr>
      <w:r>
        <w:rPr>
          <w:rFonts w:hint="eastAsia"/>
          <w:sz w:val="18"/>
          <w:szCs w:val="18"/>
        </w:rPr>
        <w:t xml:space="preserve">注：1、本表为主要人员的最低要求，投标人应根据施工需要或招标人的要求增加相关专业技术人员。 </w:t>
      </w:r>
    </w:p>
    <w:p>
      <w:pPr>
        <w:rPr>
          <w:sz w:val="18"/>
          <w:szCs w:val="18"/>
        </w:rPr>
      </w:pPr>
      <w:r>
        <w:rPr>
          <w:rFonts w:hint="eastAsia"/>
          <w:sz w:val="18"/>
          <w:szCs w:val="18"/>
        </w:rPr>
        <w:t>2、如因投标人的原因(除不可抗拒因素外)更换上述主要人员，须报请招标人批准，更换人员的资质不能低于招标文件要求，自行更换主要负责人的，对投标人按每人次课以5万元人民币违约金。</w:t>
      </w:r>
    </w:p>
    <w:p>
      <w:pPr>
        <w:rPr>
          <w:sz w:val="18"/>
          <w:szCs w:val="18"/>
        </w:rPr>
      </w:pPr>
      <w:r>
        <w:rPr>
          <w:rFonts w:hint="eastAsia"/>
          <w:sz w:val="18"/>
          <w:szCs w:val="18"/>
        </w:rPr>
        <w:t>3、相关管理人员及技术人员必须在岗，有特殊情况离岗必须向项目部请假并得到批准。</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F0E3F"/>
    <w:rsid w:val="2A8A1CF2"/>
    <w:rsid w:val="37EF0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character" w:customStyle="1" w:styleId="9">
    <w:name w:val="font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2020-06-19T07:32:00Z</dcterms:created>
  <dc:creator>钟明娟</dc:creator>
  <cp:lastModifiedBy>钟明娟</cp:lastModifiedBy>
  <dcterms:modified xsi:type="dcterms:W3CDTF">2020-06-19T07:33:52Z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