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天眉乐高速公路项目施工总承包C1合同段项目经理部TJ7标钢筋加工、运输及临建工程劳务合作工程段划分、工程规模、工期统计表</w:t>
      </w:r>
    </w:p>
    <w:p>
      <w:pPr>
        <w:pStyle w:val="2"/>
        <w:ind w:firstLine="0"/>
        <w:rPr>
          <w:rFonts w:hint="default"/>
        </w:rPr>
      </w:pPr>
    </w:p>
    <w:tbl>
      <w:tblPr>
        <w:tblStyle w:val="7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93"/>
        <w:gridCol w:w="2086"/>
        <w:gridCol w:w="1081"/>
        <w:gridCol w:w="6763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工程范围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计划工期（月）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（包含但不限于以下内容）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8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TJ7-7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K65+506-K72+845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30</w:t>
            </w:r>
          </w:p>
        </w:tc>
        <w:tc>
          <w:tcPr>
            <w:tcW w:w="2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（1）钢筋加工制作及运输；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（2）预计加工及运输数量：</w:t>
            </w:r>
            <w:r>
              <w:rPr>
                <w:rFonts w:hint="default"/>
                <w:lang w:eastAsia="zh-CN"/>
              </w:rPr>
              <w:t>3.1万吨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项目部驻地、智能钢筋配送中心、民工驻地的劳务合作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</w:rPr>
        <w:sectPr>
          <w:headerReference r:id="rId3" w:type="default"/>
          <w:footerReference r:id="rId4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附表二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天眉乐高速公路项目施工总承包C1合同段项目经理部TJ7标钢筋加工、运输及临建工程劳务合作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企业资质等级要求、业绩基本要求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(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TJ7-7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分段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）</w:t>
      </w:r>
    </w:p>
    <w:p>
      <w:pPr>
        <w:rPr>
          <w:rFonts w:hint="eastAsia"/>
          <w:sz w:val="22"/>
          <w:szCs w:val="24"/>
          <w:lang w:val="en-US" w:eastAsia="zh-CN"/>
        </w:rPr>
      </w:pPr>
    </w:p>
    <w:tbl>
      <w:tblPr>
        <w:tblStyle w:val="7"/>
        <w:tblW w:w="481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166"/>
        <w:gridCol w:w="2114"/>
        <w:gridCol w:w="3615"/>
        <w:gridCol w:w="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主要特征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施工企业资质等级要求</w:t>
            </w:r>
          </w:p>
        </w:tc>
        <w:tc>
          <w:tcPr>
            <w:tcW w:w="1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054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业绩基本要求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jc w:val="center"/>
              <w:rPr>
                <w:rFonts w:hint="default" w:ascii="仿宋" w:hAnsi="仿宋" w:eastAsia="宋体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TJ7-7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钢筋加工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运输、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临建工程</w:t>
            </w: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具有行业主管部门颁发的施工劳务资质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Hans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公路工程施工三级以上资质及施工劳务资质。</w:t>
            </w:r>
          </w:p>
        </w:tc>
        <w:tc>
          <w:tcPr>
            <w:tcW w:w="1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近五年内（自201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年1月1日起至今，以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合同签订日期为准，完成或在建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类似的钢筋加工、运输劳务合作工程项目施工业绩1个及以上，合同总金额在1000万元(含)以上。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以提供的合同协议书为准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  <w:sectPr>
          <w:headerReference r:id="rId5" w:type="default"/>
          <w:footerReference r:id="rId6" w:type="default"/>
          <w:pgSz w:w="11911" w:h="16838"/>
          <w:pgMar w:top="1599" w:right="1179" w:bottom="1298" w:left="1100" w:header="0" w:footer="567" w:gutter="0"/>
          <w:cols w:space="720" w:num="1"/>
          <w:rtlGutter w:val="0"/>
          <w:docGrid w:linePitch="1" w:charSpace="0"/>
        </w:sectPr>
      </w:pPr>
    </w:p>
    <w:p>
      <w:pPr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附表三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天眉乐高速公路项目施工总承包C1合同段项目经理部TJ7标钢筋加工、运输及临建工程劳务合作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拟投入主要人员配置表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(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TJ7-7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分段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最低要求）</w:t>
      </w:r>
    </w:p>
    <w:p>
      <w:pPr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tbl>
      <w:tblPr>
        <w:tblStyle w:val="7"/>
        <w:tblW w:w="47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812"/>
        <w:gridCol w:w="1621"/>
        <w:gridCol w:w="1278"/>
        <w:gridCol w:w="2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人员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工作任务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现场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负责人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生产管理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技术负责人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负责质量、进度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安全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安全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、环水保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具有主管部门颁发的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安全员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4</w:t>
            </w:r>
          </w:p>
        </w:tc>
        <w:tc>
          <w:tcPr>
            <w:tcW w:w="11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材料员</w:t>
            </w:r>
          </w:p>
        </w:tc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负责材料管理工作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</w:t>
            </w:r>
          </w:p>
        </w:tc>
        <w:tc>
          <w:tcPr>
            <w:tcW w:w="1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  <w:t>注：</w:t>
      </w:r>
    </w:p>
    <w:p>
      <w:pPr>
        <w:widowControl/>
        <w:numPr>
          <w:ilvl w:val="0"/>
          <w:numId w:val="1"/>
        </w:num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>以上人员为每个标段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主要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>管理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人员的最低要求，投标人应根据施工需要或招标人的要求增加相关人员。</w:t>
      </w:r>
    </w:p>
    <w:p>
      <w:pPr>
        <w:pStyle w:val="2"/>
        <w:numPr>
          <w:ilvl w:val="0"/>
          <w:numId w:val="0"/>
        </w:numPr>
        <w:ind w:firstLine="360" w:firstLineChars="200"/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2、生产人员根据项目部生产需求进行配置。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3、如因投标人的原因(除不可抗拒因素外)更换上述主要人员（负责人、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eastAsia="zh-CN" w:bidi="ar-SA"/>
        </w:rPr>
        <w:t>技术负责人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），须报请招标人批准，更换人员的资质不能低于招标文件要求，自行更换主要负责人的，对投标人按每人次处以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eastAsia="zh-CN" w:bidi="ar-SA"/>
        </w:rPr>
        <w:t>50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万元人民币违约金。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4、相关管理人员必须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在岗，有特殊情况离岗必须向项目部请假并得到批准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天眉乐高速公路项目施工总承包C1合同段项目经理部TJ7标钢筋加工、运输及临建工程劳务合作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拟投入设备配置表</w:t>
      </w:r>
    </w:p>
    <w:p>
      <w:pPr>
        <w:pStyle w:val="2"/>
        <w:ind w:left="0" w:leftChars="0"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（TJ7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7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分段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最低配置要求）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49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53"/>
        <w:gridCol w:w="1381"/>
        <w:gridCol w:w="840"/>
        <w:gridCol w:w="656"/>
        <w:gridCol w:w="663"/>
        <w:gridCol w:w="796"/>
        <w:gridCol w:w="691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9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8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7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总数量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数控钢筋笼滚焊机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22KW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0.5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0.5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数控钢筋弯曲中心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70</w:t>
            </w:r>
            <w:r>
              <w:rPr>
                <w:rFonts w:hint="default" w:ascii="Times New Roman" w:hAnsi="Times New Roman" w:eastAsia="宋体" w:cs="Times New Roman"/>
              </w:rPr>
              <w:t>KW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0.5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数控钢筋弯箍机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38KW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0.5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  <w:t>4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数控钢筋笼绕线机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22KW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0.5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</w:rPr>
              <w:t>0.5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/>
              </w:rPr>
              <w:t>地滚笼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  <w:t>5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数控钢筋切锯套丝生产线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42KW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  <w:t>6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钢筋</w:t>
            </w:r>
            <w:r>
              <w:rPr>
                <w:rFonts w:hint="default"/>
              </w:rPr>
              <w:t>截断</w:t>
            </w:r>
            <w:r>
              <w:rPr>
                <w:rFonts w:hint="eastAsia"/>
              </w:rPr>
              <w:t>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5.5KW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  <w:t>7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调直切断机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GT4-12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平板运输车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9.6米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挖掘机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ind w:right="1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240</w:t>
            </w:r>
            <w:r>
              <w:rPr>
                <w:rFonts w:hint="eastAsia" w:ascii="宋体" w:hAnsi="宋体" w:eastAsia="宋体" w:cs="宋体"/>
                <w:color w:val="auto"/>
              </w:rPr>
              <w:t>及以上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spacing w:line="260" w:lineRule="exact"/>
              <w:ind w:right="5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装载机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50型及</w:t>
            </w:r>
            <w:r>
              <w:rPr>
                <w:rFonts w:hint="eastAsia" w:ascii="宋体" w:hAnsi="宋体" w:eastAsia="宋体" w:cs="宋体"/>
                <w:color w:val="auto"/>
              </w:rPr>
              <w:t>以上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5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吊车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25t及</w:t>
            </w:r>
            <w:r>
              <w:rPr>
                <w:rFonts w:hint="eastAsia" w:ascii="宋体" w:hAnsi="宋体" w:eastAsia="宋体" w:cs="宋体"/>
                <w:color w:val="auto"/>
              </w:rPr>
              <w:t>以上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5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自卸车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20t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5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kinsoku w:val="0"/>
              <w:overflowPunct w:val="0"/>
              <w:spacing w:line="258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压路机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20t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台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5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eastAsia="zh-CN"/>
        </w:rPr>
        <w:t>201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eastAsia="zh-CN"/>
        </w:rPr>
        <w:t>年1月1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日至今）。</w:t>
      </w:r>
    </w:p>
    <w:p>
      <w:pPr>
        <w:pStyle w:val="2"/>
        <w:ind w:left="0" w:leftChars="0" w:firstLine="361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sz w:val="18"/>
          <w:szCs w:val="1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自有设备需提供购买发票,投标人需保证发票真实有效，若投标人提供的发票网上查验为虚假发票，作废标处理。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spacing w:line="14" w:lineRule="auto"/>
      <w:rPr>
        <w:rFonts w:ascii="宋体" w:hAnsi="宋体" w:cs="宋体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Bdr>
        <w:bottom w:val="single" w:color="auto" w:sz="4" w:space="0"/>
      </w:pBdr>
      <w:spacing w:line="200" w:lineRule="exact"/>
      <w:ind w:left="20"/>
    </w:pPr>
    <w:r>
      <w:rPr>
        <w:rFonts w:hint="eastAsia" w:ascii="宋体" w:hAnsi="宋体" w:cs="宋体"/>
        <w:sz w:val="18"/>
        <w:szCs w:val="18"/>
        <w:lang w:eastAsia="zh-CN"/>
      </w:rPr>
      <w:t>四川省交通建设集团有限责任公司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  <w:p>
    <w:pPr>
      <w:pBdr>
        <w:bottom w:val="single" w:color="auto" w:sz="4" w:space="0"/>
      </w:pBdr>
      <w:spacing w:line="200" w:lineRule="exact"/>
      <w:ind w:left="20"/>
    </w:pPr>
    <w:r>
      <w:rPr>
        <w:rFonts w:hint="eastAsia" w:ascii="宋体" w:hAnsi="宋体" w:cs="宋体"/>
        <w:sz w:val="18"/>
        <w:szCs w:val="18"/>
        <w:lang w:eastAsia="zh-CN"/>
      </w:rPr>
      <w:t>四川省交通建设集团有限责任公司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2C11C"/>
    <w:multiLevelType w:val="singleLevel"/>
    <w:tmpl w:val="2712C1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000000"/>
    <w:rsid w:val="0F150802"/>
    <w:rsid w:val="455F4C74"/>
    <w:rsid w:val="597329CE"/>
    <w:rsid w:val="5A551E76"/>
    <w:rsid w:val="64C40FC3"/>
    <w:rsid w:val="74C23F54"/>
    <w:rsid w:val="7E0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character" w:styleId="9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2023-01-30T01:09:00Z</dcterms:created>
  <dc:creator>wu'yi'chuan</dc:creator>
  <cp:lastModifiedBy>Sensual</cp:lastModifiedBy>
  <dcterms:modified xsi:type="dcterms:W3CDTF">2023-02-01T01:25:23Z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02C0F293D5EC4268BCA074344C74ACF7</vt:lpwstr>
  </property>
</Properties>
</file>