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tabs>
          <w:tab w:val="left" w:pos="416"/>
        </w:tabs>
        <w:autoSpaceDE w:val="0"/>
        <w:autoSpaceDN w:val="0"/>
        <w:spacing w:before="122"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cs="宋体"/>
          <w:b/>
          <w:color w:val="auto"/>
          <w:sz w:val="28"/>
          <w:szCs w:val="28"/>
          <w:highlight w:val="none"/>
          <w:lang w:val="en-US" w:eastAsia="zh-CN"/>
        </w:rPr>
        <w:t>一</w:t>
      </w:r>
    </w:p>
    <w:p>
      <w:pPr>
        <w:pStyle w:val="2"/>
        <w:ind w:firstLine="241" w:firstLineChars="10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G5京昆高速公路绵阳至成都段扩容项目路面2标主体水稳工程劳务合作项目工程段划分、工程范围、工期统计表</w:t>
      </w:r>
    </w:p>
    <w:p>
      <w:pPr>
        <w:rPr>
          <w:rFonts w:hint="eastAsia" w:ascii="宋体" w:hAnsi="宋体" w:eastAsia="宋体" w:cs="宋体"/>
          <w:color w:val="auto"/>
          <w:highlight w:val="none"/>
          <w:lang w:val="en-US" w:eastAsia="zh-CN"/>
        </w:rPr>
      </w:pPr>
    </w:p>
    <w:tbl>
      <w:tblPr>
        <w:tblStyle w:val="5"/>
        <w:tblpPr w:leftFromText="180" w:rightFromText="180" w:vertAnchor="text" w:horzAnchor="page" w:tblpX="1912" w:tblpY="163"/>
        <w:tblOverlap w:val="never"/>
        <w:tblW w:w="135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718"/>
        <w:gridCol w:w="2628"/>
        <w:gridCol w:w="1632"/>
        <w:gridCol w:w="3757"/>
        <w:gridCol w:w="1075"/>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69"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1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分段名称</w:t>
            </w:r>
          </w:p>
        </w:tc>
        <w:tc>
          <w:tcPr>
            <w:tcW w:w="2628" w:type="dxa"/>
            <w:noWrap w:val="0"/>
            <w:vAlign w:val="center"/>
          </w:tcPr>
          <w:p>
            <w:pPr>
              <w:jc w:val="center"/>
              <w:rPr>
                <w:rFonts w:hint="eastAsia" w:ascii="宋体" w:hAnsi="宋体" w:eastAsia="宋体" w:cs="宋体"/>
                <w:color w:val="auto"/>
                <w:szCs w:val="21"/>
                <w:highlight w:val="none"/>
              </w:rPr>
            </w:pPr>
            <w:r>
              <w:rPr>
                <w:rFonts w:hint="eastAsia" w:ascii="宋体" w:hAnsi="宋体" w:cs="宋体"/>
                <w:kern w:val="0"/>
                <w:sz w:val="21"/>
                <w:szCs w:val="21"/>
                <w:highlight w:val="none"/>
                <w:lang w:val="en-US" w:eastAsia="zh-CN"/>
              </w:rPr>
              <w:t>里程段落</w:t>
            </w:r>
          </w:p>
        </w:tc>
        <w:tc>
          <w:tcPr>
            <w:tcW w:w="1632" w:type="dxa"/>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长度</w:t>
            </w:r>
          </w:p>
        </w:tc>
        <w:tc>
          <w:tcPr>
            <w:tcW w:w="375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工作内容</w:t>
            </w:r>
          </w:p>
        </w:tc>
        <w:tc>
          <w:tcPr>
            <w:tcW w:w="1075"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2065"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669" w:type="dxa"/>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1718"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LM2-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标段：水稳一队</w:t>
            </w:r>
          </w:p>
        </w:tc>
        <w:tc>
          <w:tcPr>
            <w:tcW w:w="262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K68+000-K80+400段</w:t>
            </w:r>
          </w:p>
        </w:tc>
        <w:tc>
          <w:tcPr>
            <w:tcW w:w="1632" w:type="dxa"/>
            <w:noWrap w:val="0"/>
            <w:vAlign w:val="center"/>
          </w:tcPr>
          <w:p>
            <w:pPr>
              <w:ind w:firstLine="420" w:firstLineChars="200"/>
              <w:jc w:val="left"/>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12.4km</w:t>
            </w:r>
          </w:p>
        </w:tc>
        <w:tc>
          <w:tcPr>
            <w:tcW w:w="3757"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K68+000-K80+400</w:t>
            </w:r>
            <w:r>
              <w:rPr>
                <w:rFonts w:hint="eastAsia" w:ascii="宋体" w:hAnsi="宋体" w:eastAsia="宋体" w:cs="宋体"/>
                <w:color w:val="auto"/>
                <w:kern w:val="0"/>
                <w:sz w:val="21"/>
                <w:szCs w:val="21"/>
                <w:highlight w:val="none"/>
                <w:lang w:val="en-US" w:eastAsia="zh-CN"/>
              </w:rPr>
              <w:t>段落级配碎石5</w:t>
            </w:r>
            <w:r>
              <w:rPr>
                <w:rFonts w:hint="eastAsia" w:ascii="宋体" w:hAnsi="宋体" w:cs="宋体"/>
                <w:color w:val="auto"/>
                <w:kern w:val="0"/>
                <w:sz w:val="21"/>
                <w:szCs w:val="21"/>
                <w:highlight w:val="none"/>
                <w:lang w:val="en-US" w:eastAsia="zh-CN"/>
              </w:rPr>
              <w:t>81078m²</w:t>
            </w:r>
            <w:r>
              <w:rPr>
                <w:rFonts w:hint="eastAsia" w:ascii="宋体" w:hAnsi="宋体" w:eastAsia="宋体" w:cs="宋体"/>
                <w:color w:val="auto"/>
                <w:kern w:val="0"/>
                <w:sz w:val="21"/>
                <w:szCs w:val="21"/>
                <w:highlight w:val="none"/>
                <w:lang w:val="en-US" w:eastAsia="zh-CN"/>
              </w:rPr>
              <w:t>、水稳层</w:t>
            </w:r>
            <w:r>
              <w:rPr>
                <w:rFonts w:hint="eastAsia" w:ascii="宋体" w:hAnsi="宋体" w:cs="宋体"/>
                <w:color w:val="auto"/>
                <w:kern w:val="0"/>
                <w:sz w:val="21"/>
                <w:szCs w:val="21"/>
                <w:highlight w:val="none"/>
                <w:lang w:val="en-US" w:eastAsia="zh-CN"/>
              </w:rPr>
              <w:t>1616364m²</w:t>
            </w:r>
            <w:r>
              <w:rPr>
                <w:rFonts w:hint="eastAsia" w:ascii="宋体" w:hAnsi="宋体" w:eastAsia="宋体" w:cs="宋体"/>
                <w:color w:val="auto"/>
                <w:kern w:val="0"/>
                <w:sz w:val="21"/>
                <w:szCs w:val="21"/>
                <w:highlight w:val="none"/>
                <w:lang w:val="en-US" w:eastAsia="zh-CN"/>
              </w:rPr>
              <w:t>施工包含劳务、前后场设备、混合料加工、水稳层场地清理等作业。（除</w:t>
            </w:r>
            <w:r>
              <w:rPr>
                <w:rFonts w:hint="eastAsia" w:ascii="宋体" w:hAnsi="宋体" w:cs="宋体"/>
                <w:color w:val="auto"/>
                <w:kern w:val="0"/>
                <w:sz w:val="21"/>
                <w:szCs w:val="21"/>
                <w:highlight w:val="none"/>
                <w:lang w:val="en-US" w:eastAsia="zh-CN"/>
              </w:rPr>
              <w:t>运输及</w:t>
            </w:r>
            <w:r>
              <w:rPr>
                <w:rFonts w:hint="eastAsia" w:ascii="宋体" w:hAnsi="宋体" w:eastAsia="宋体" w:cs="宋体"/>
                <w:color w:val="auto"/>
                <w:kern w:val="0"/>
                <w:sz w:val="21"/>
                <w:szCs w:val="21"/>
                <w:highlight w:val="none"/>
                <w:lang w:val="en-US" w:eastAsia="zh-CN"/>
              </w:rPr>
              <w:t>甲供材料外所有</w:t>
            </w:r>
            <w:r>
              <w:rPr>
                <w:rFonts w:hint="eastAsia" w:ascii="宋体" w:hAnsi="宋体" w:cs="宋体"/>
                <w:color w:val="auto"/>
                <w:kern w:val="0"/>
                <w:sz w:val="21"/>
                <w:szCs w:val="21"/>
                <w:highlight w:val="none"/>
                <w:lang w:val="en-US" w:eastAsia="zh-CN"/>
              </w:rPr>
              <w:t>协作内容）</w:t>
            </w:r>
            <w:r>
              <w:rPr>
                <w:rFonts w:hint="eastAsia" w:ascii="宋体" w:hAnsi="宋体" w:eastAsia="宋体" w:cs="宋体"/>
                <w:color w:val="auto"/>
                <w:kern w:val="0"/>
                <w:sz w:val="21"/>
                <w:szCs w:val="21"/>
                <w:highlight w:val="none"/>
                <w:lang w:val="en-US" w:eastAsia="zh-CN"/>
              </w:rPr>
              <w:t>。</w:t>
            </w:r>
          </w:p>
        </w:tc>
        <w:tc>
          <w:tcPr>
            <w:tcW w:w="107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个月</w:t>
            </w:r>
          </w:p>
        </w:tc>
        <w:tc>
          <w:tcPr>
            <w:tcW w:w="2065" w:type="dxa"/>
            <w:noWrap w:val="0"/>
            <w:vAlign w:val="center"/>
          </w:tcPr>
          <w:p>
            <w:pPr>
              <w:jc w:val="center"/>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开工日期</w:t>
            </w:r>
            <w:r>
              <w:rPr>
                <w:rFonts w:hint="eastAsia" w:ascii="宋体" w:hAnsi="宋体" w:eastAsia="宋体" w:cs="宋体"/>
                <w:color w:val="auto"/>
                <w:sz w:val="21"/>
                <w:szCs w:val="21"/>
                <w:highlight w:val="none"/>
              </w:rPr>
              <w:t>以招标人要求为准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9" w:hRule="atLeast"/>
        </w:trPr>
        <w:tc>
          <w:tcPr>
            <w:tcW w:w="669" w:type="dxa"/>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718" w:type="dxa"/>
            <w:noWrap w:val="0"/>
            <w:vAlign w:val="center"/>
          </w:tcPr>
          <w:p>
            <w:pPr>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LM2-</w:t>
            </w:r>
            <w:r>
              <w:rPr>
                <w:rFonts w:hint="eastAsia" w:ascii="宋体" w:hAnsi="宋体" w:cs="宋体"/>
                <w:color w:val="auto"/>
                <w:sz w:val="21"/>
                <w:szCs w:val="21"/>
                <w:highlight w:val="none"/>
                <w:lang w:val="en-US" w:eastAsia="zh-CN"/>
              </w:rPr>
              <w:t>4</w:t>
            </w:r>
            <w:r>
              <w:rPr>
                <w:rFonts w:hint="eastAsia" w:ascii="宋体" w:hAnsi="宋体" w:eastAsia="宋体" w:cs="宋体"/>
                <w:b w:val="0"/>
                <w:bCs w:val="0"/>
                <w:color w:val="auto"/>
                <w:sz w:val="21"/>
                <w:szCs w:val="21"/>
                <w:highlight w:val="none"/>
                <w:u w:val="none"/>
                <w:lang w:val="en-US" w:eastAsia="zh-CN"/>
              </w:rPr>
              <w:t>标段：水稳二队</w:t>
            </w:r>
          </w:p>
        </w:tc>
        <w:tc>
          <w:tcPr>
            <w:tcW w:w="2628" w:type="dxa"/>
            <w:noWrap w:val="0"/>
            <w:vAlign w:val="center"/>
          </w:tcPr>
          <w:p>
            <w:pPr>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K80+400-K94+419段</w:t>
            </w:r>
          </w:p>
        </w:tc>
        <w:tc>
          <w:tcPr>
            <w:tcW w:w="1632" w:type="dxa"/>
            <w:noWrap w:val="0"/>
            <w:vAlign w:val="center"/>
          </w:tcPr>
          <w:p>
            <w:pPr>
              <w:ind w:firstLine="420" w:firstLineChars="200"/>
              <w:jc w:val="left"/>
              <w:rPr>
                <w:rFonts w:hint="default" w:ascii="宋体" w:hAnsi="宋体" w:eastAsia="宋体" w:cs="宋体"/>
                <w:b w:val="0"/>
                <w:bCs w:val="0"/>
                <w:color w:val="auto"/>
                <w:sz w:val="21"/>
                <w:szCs w:val="21"/>
                <w:highlight w:val="none"/>
                <w:u w:val="none"/>
                <w:lang w:val="en-US" w:eastAsia="zh-CN"/>
              </w:rPr>
            </w:pPr>
            <w:r>
              <w:rPr>
                <w:rFonts w:hint="eastAsia" w:ascii="宋体" w:hAnsi="宋体" w:cs="宋体"/>
                <w:color w:val="auto"/>
                <w:sz w:val="21"/>
                <w:szCs w:val="21"/>
                <w:highlight w:val="none"/>
                <w:lang w:val="en-US" w:eastAsia="zh-CN"/>
              </w:rPr>
              <w:t>14.019km</w:t>
            </w:r>
          </w:p>
        </w:tc>
        <w:tc>
          <w:tcPr>
            <w:tcW w:w="3757"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K</w:t>
            </w:r>
            <w:r>
              <w:rPr>
                <w:rFonts w:hint="eastAsia" w:ascii="宋体" w:hAnsi="宋体" w:eastAsia="宋体" w:cs="宋体"/>
                <w:b w:val="0"/>
                <w:bCs w:val="0"/>
                <w:color w:val="auto"/>
                <w:sz w:val="21"/>
                <w:szCs w:val="21"/>
                <w:highlight w:val="none"/>
                <w:u w:val="none"/>
                <w:lang w:val="en-US" w:eastAsia="zh-CN"/>
              </w:rPr>
              <w:t>80+400-K94+419</w:t>
            </w:r>
            <w:r>
              <w:rPr>
                <w:rFonts w:hint="eastAsia" w:ascii="宋体" w:hAnsi="宋体" w:eastAsia="宋体" w:cs="宋体"/>
                <w:color w:val="auto"/>
                <w:kern w:val="0"/>
                <w:sz w:val="21"/>
                <w:szCs w:val="21"/>
                <w:highlight w:val="none"/>
                <w:lang w:val="en-US" w:eastAsia="zh-CN"/>
              </w:rPr>
              <w:t>段落级配碎石63</w:t>
            </w:r>
            <w:r>
              <w:rPr>
                <w:rFonts w:hint="eastAsia" w:ascii="宋体" w:hAnsi="宋体" w:cs="宋体"/>
                <w:color w:val="auto"/>
                <w:kern w:val="0"/>
                <w:sz w:val="21"/>
                <w:szCs w:val="21"/>
                <w:highlight w:val="none"/>
                <w:lang w:val="en-US" w:eastAsia="zh-CN"/>
              </w:rPr>
              <w:t>2283m²</w:t>
            </w:r>
            <w:r>
              <w:rPr>
                <w:rFonts w:hint="eastAsia" w:ascii="宋体" w:hAnsi="宋体" w:eastAsia="宋体" w:cs="宋体"/>
                <w:color w:val="auto"/>
                <w:kern w:val="0"/>
                <w:sz w:val="21"/>
                <w:szCs w:val="21"/>
                <w:highlight w:val="none"/>
                <w:lang w:val="en-US" w:eastAsia="zh-CN"/>
              </w:rPr>
              <w:t>、水稳层</w:t>
            </w:r>
            <w:r>
              <w:rPr>
                <w:rFonts w:hint="eastAsia" w:ascii="宋体" w:hAnsi="宋体" w:cs="宋体"/>
                <w:color w:val="auto"/>
                <w:kern w:val="0"/>
                <w:sz w:val="21"/>
                <w:szCs w:val="21"/>
                <w:highlight w:val="none"/>
                <w:lang w:val="en-US" w:eastAsia="zh-CN"/>
              </w:rPr>
              <w:t>1736200m²</w:t>
            </w:r>
            <w:r>
              <w:rPr>
                <w:rFonts w:hint="eastAsia" w:ascii="宋体" w:hAnsi="宋体" w:eastAsia="宋体" w:cs="宋体"/>
                <w:color w:val="auto"/>
                <w:kern w:val="0"/>
                <w:sz w:val="21"/>
                <w:szCs w:val="21"/>
                <w:highlight w:val="none"/>
                <w:lang w:val="en-US" w:eastAsia="zh-CN"/>
              </w:rPr>
              <w:t>施工包含劳务、前后场设备、混合料加工、水稳层场地清理等作业。（除</w:t>
            </w:r>
            <w:r>
              <w:rPr>
                <w:rFonts w:hint="eastAsia" w:ascii="宋体" w:hAnsi="宋体" w:cs="宋体"/>
                <w:color w:val="auto"/>
                <w:kern w:val="0"/>
                <w:sz w:val="21"/>
                <w:szCs w:val="21"/>
                <w:highlight w:val="none"/>
                <w:lang w:val="en-US" w:eastAsia="zh-CN"/>
              </w:rPr>
              <w:t>运输及</w:t>
            </w:r>
            <w:r>
              <w:rPr>
                <w:rFonts w:hint="eastAsia" w:ascii="宋体" w:hAnsi="宋体" w:eastAsia="宋体" w:cs="宋体"/>
                <w:color w:val="auto"/>
                <w:kern w:val="0"/>
                <w:sz w:val="21"/>
                <w:szCs w:val="21"/>
                <w:highlight w:val="none"/>
                <w:lang w:val="en-US" w:eastAsia="zh-CN"/>
              </w:rPr>
              <w:t>甲供材料外所有</w:t>
            </w:r>
            <w:r>
              <w:rPr>
                <w:rFonts w:hint="eastAsia" w:ascii="宋体" w:hAnsi="宋体" w:cs="宋体"/>
                <w:color w:val="auto"/>
                <w:kern w:val="0"/>
                <w:sz w:val="21"/>
                <w:szCs w:val="21"/>
                <w:highlight w:val="none"/>
                <w:lang w:val="en-US" w:eastAsia="zh-CN"/>
              </w:rPr>
              <w:t>协作内容）</w:t>
            </w:r>
            <w:r>
              <w:rPr>
                <w:rFonts w:hint="eastAsia" w:ascii="宋体" w:hAnsi="宋体" w:eastAsia="宋体" w:cs="宋体"/>
                <w:color w:val="auto"/>
                <w:kern w:val="0"/>
                <w:sz w:val="21"/>
                <w:szCs w:val="21"/>
                <w:highlight w:val="none"/>
                <w:lang w:val="en-US" w:eastAsia="zh-CN"/>
              </w:rPr>
              <w:t>。</w:t>
            </w:r>
          </w:p>
        </w:tc>
        <w:tc>
          <w:tcPr>
            <w:tcW w:w="1075"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个月</w:t>
            </w:r>
          </w:p>
        </w:tc>
        <w:tc>
          <w:tcPr>
            <w:tcW w:w="2065"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开工日期</w:t>
            </w:r>
            <w:r>
              <w:rPr>
                <w:rFonts w:hint="eastAsia" w:ascii="宋体" w:hAnsi="宋体" w:eastAsia="宋体" w:cs="宋体"/>
                <w:color w:val="auto"/>
                <w:sz w:val="21"/>
                <w:szCs w:val="21"/>
                <w:highlight w:val="none"/>
              </w:rPr>
              <w:t>以招标人要求为准</w:t>
            </w:r>
          </w:p>
        </w:tc>
      </w:tr>
    </w:tbl>
    <w:p>
      <w:pPr>
        <w:pStyle w:val="2"/>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b w:val="0"/>
          <w:bCs/>
          <w:color w:val="auto"/>
          <w:sz w:val="28"/>
          <w:szCs w:val="28"/>
          <w:highlight w:val="none"/>
        </w:rPr>
      </w:pPr>
    </w:p>
    <w:p>
      <w:pPr>
        <w:rPr>
          <w:rFonts w:hint="eastAsia" w:ascii="宋体" w:hAnsi="宋体" w:eastAsia="宋体" w:cs="宋体"/>
          <w:b w:val="0"/>
          <w:bCs/>
          <w:color w:val="auto"/>
          <w:sz w:val="28"/>
          <w:szCs w:val="28"/>
          <w:highlight w:val="none"/>
        </w:rPr>
      </w:pPr>
    </w:p>
    <w:p>
      <w:pPr>
        <w:pStyle w:val="2"/>
        <w:rPr>
          <w:rFonts w:hint="eastAsia" w:ascii="宋体" w:hAnsi="宋体" w:eastAsia="宋体" w:cs="宋体"/>
          <w:color w:val="auto"/>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ind w:left="0" w:leftChars="0" w:firstLine="0" w:firstLineChars="0"/>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rPr>
      </w:pPr>
    </w:p>
    <w:p>
      <w:pPr>
        <w:rPr>
          <w:rFonts w:hint="eastAsia"/>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二</w:t>
      </w:r>
    </w:p>
    <w:p>
      <w:pPr>
        <w:rPr>
          <w:rFonts w:hint="eastAsia" w:ascii="宋体" w:hAnsi="宋体" w:eastAsia="宋体" w:cs="宋体"/>
          <w:color w:val="auto"/>
          <w:highlight w:val="none"/>
        </w:rPr>
      </w:pPr>
    </w:p>
    <w:p>
      <w:pPr>
        <w:pStyle w:val="2"/>
        <w:ind w:firstLine="0"/>
        <w:jc w:val="center"/>
        <w:rPr>
          <w:rFonts w:hint="eastAsia" w:ascii="宋体" w:hAnsi="宋体" w:eastAsia="宋体" w:cs="宋体"/>
          <w:b/>
          <w:bCs/>
          <w:i w:val="0"/>
          <w:iCs w:val="0"/>
          <w:sz w:val="24"/>
          <w:szCs w:val="24"/>
          <w:lang w:val="en-US" w:eastAsia="zh-CN"/>
        </w:rPr>
      </w:pPr>
      <w:r>
        <w:rPr>
          <w:rFonts w:hint="eastAsia" w:ascii="宋体" w:hAnsi="宋体" w:eastAsia="宋体" w:cs="宋体"/>
          <w:b/>
          <w:bCs/>
          <w:color w:val="auto"/>
          <w:sz w:val="28"/>
          <w:szCs w:val="28"/>
          <w:highlight w:val="none"/>
          <w:lang w:val="en-US" w:eastAsia="zh-CN"/>
        </w:rPr>
        <w:t>G5京昆高速公路绵阳至成都段扩容项目路面2标主体水稳工程劳务合作项目</w:t>
      </w:r>
      <w:r>
        <w:rPr>
          <w:rFonts w:hint="eastAsia" w:ascii="宋体" w:hAnsi="宋体" w:eastAsia="宋体" w:cs="宋体"/>
          <w:b/>
          <w:bCs/>
          <w:i w:val="0"/>
          <w:iCs w:val="0"/>
          <w:sz w:val="24"/>
          <w:szCs w:val="24"/>
          <w:lang w:val="en-US" w:eastAsia="zh-CN"/>
        </w:rPr>
        <w:t xml:space="preserve">                     </w:t>
      </w:r>
    </w:p>
    <w:p>
      <w:pPr>
        <w:pStyle w:val="2"/>
        <w:ind w:firstLine="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施工企业资质等级要求</w:t>
      </w:r>
      <w:r>
        <w:rPr>
          <w:rFonts w:hint="eastAsia" w:ascii="宋体" w:hAnsi="宋体" w:eastAsia="宋体" w:cs="宋体"/>
          <w:b/>
          <w:bCs/>
          <w:color w:val="auto"/>
          <w:sz w:val="28"/>
          <w:szCs w:val="28"/>
          <w:highlight w:val="none"/>
          <w:lang w:eastAsia="zh-CN"/>
        </w:rPr>
        <w:t>、业绩基本</w:t>
      </w:r>
      <w:r>
        <w:rPr>
          <w:rFonts w:hint="eastAsia" w:ascii="宋体" w:hAnsi="宋体" w:eastAsia="宋体" w:cs="宋体"/>
          <w:b/>
          <w:bCs/>
          <w:color w:val="auto"/>
          <w:sz w:val="28"/>
          <w:szCs w:val="28"/>
          <w:highlight w:val="none"/>
        </w:rPr>
        <w:t>要求</w:t>
      </w:r>
    </w:p>
    <w:p>
      <w:pPr>
        <w:rPr>
          <w:rFonts w:hint="eastAsia" w:ascii="宋体" w:hAnsi="宋体" w:eastAsia="宋体" w:cs="宋体"/>
          <w:color w:val="auto"/>
          <w:highlight w:val="none"/>
        </w:rPr>
      </w:pPr>
    </w:p>
    <w:tbl>
      <w:tblPr>
        <w:tblStyle w:val="5"/>
        <w:tblpPr w:leftFromText="180" w:rightFromText="180" w:vertAnchor="text" w:horzAnchor="page" w:tblpX="1280" w:tblpY="89"/>
        <w:tblOverlap w:val="never"/>
        <w:tblW w:w="13865" w:type="dxa"/>
        <w:jc w:val="center"/>
        <w:tblLayout w:type="fixed"/>
        <w:tblCellMar>
          <w:top w:w="0" w:type="dxa"/>
          <w:left w:w="0" w:type="dxa"/>
          <w:bottom w:w="0" w:type="dxa"/>
          <w:right w:w="0" w:type="dxa"/>
        </w:tblCellMar>
      </w:tblPr>
      <w:tblGrid>
        <w:gridCol w:w="527"/>
        <w:gridCol w:w="1417"/>
        <w:gridCol w:w="1634"/>
        <w:gridCol w:w="4226"/>
        <w:gridCol w:w="4952"/>
        <w:gridCol w:w="1109"/>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序号</w:t>
            </w:r>
          </w:p>
        </w:tc>
        <w:tc>
          <w:tcPr>
            <w:tcW w:w="141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分段名称</w:t>
            </w:r>
          </w:p>
        </w:tc>
        <w:tc>
          <w:tcPr>
            <w:tcW w:w="163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特征</w:t>
            </w:r>
          </w:p>
        </w:tc>
        <w:tc>
          <w:tcPr>
            <w:tcW w:w="422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施工企业资质等级要求</w:t>
            </w:r>
          </w:p>
        </w:tc>
        <w:tc>
          <w:tcPr>
            <w:tcW w:w="495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业绩基本要求</w:t>
            </w:r>
          </w:p>
        </w:tc>
        <w:tc>
          <w:tcPr>
            <w:tcW w:w="11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141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163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42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49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11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0" w:type="dxa"/>
            <w:bottom w:w="0" w:type="dxa"/>
            <w:right w:w="0" w:type="dxa"/>
          </w:tblCellMar>
        </w:tblPrEx>
        <w:trPr>
          <w:trHeight w:val="1623"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sz w:val="22"/>
                <w:szCs w:val="21"/>
                <w:highlight w:val="none"/>
                <w:lang w:val="en-US" w:eastAsia="zh-CN"/>
              </w:rPr>
            </w:pPr>
            <w:r>
              <w:rPr>
                <w:rFonts w:hint="eastAsia" w:ascii="宋体" w:hAnsi="宋体" w:eastAsia="宋体" w:cs="宋体"/>
                <w:color w:val="auto"/>
                <w:sz w:val="22"/>
                <w:szCs w:val="22"/>
                <w:highlight w:val="none"/>
                <w:lang w:val="en-US" w:eastAsia="zh-CN"/>
              </w:rPr>
              <w:t>LM2-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标段</w:t>
            </w:r>
          </w:p>
        </w:tc>
        <w:tc>
          <w:tcPr>
            <w:tcW w:w="16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2"/>
                <w:szCs w:val="22"/>
                <w:highlight w:val="none"/>
                <w:lang w:val="en-US" w:eastAsia="zh-CN"/>
              </w:rPr>
              <w:t>水泥稳定碎石和级配碎石</w:t>
            </w:r>
          </w:p>
        </w:tc>
        <w:tc>
          <w:tcPr>
            <w:tcW w:w="4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具有政府主管部门颁布的公路工程施工总承包三级及以上资质或施工劳务资质</w:t>
            </w:r>
          </w:p>
        </w:tc>
        <w:tc>
          <w:tcPr>
            <w:tcW w:w="49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440" w:firstLineChars="20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2"/>
                <w:szCs w:val="22"/>
                <w:highlight w:val="none"/>
                <w:lang w:val="en-US" w:eastAsia="zh-CN"/>
              </w:rPr>
              <w:t>五年内（2017年5月1日至今，以合同签订时间为准）完成</w:t>
            </w:r>
            <w:r>
              <w:rPr>
                <w:rFonts w:hint="eastAsia" w:ascii="宋体" w:hAnsi="宋体" w:cs="宋体"/>
                <w:color w:val="auto"/>
                <w:sz w:val="22"/>
                <w:szCs w:val="22"/>
                <w:highlight w:val="none"/>
                <w:lang w:val="en-US" w:eastAsia="zh-CN"/>
              </w:rPr>
              <w:t>路面</w:t>
            </w:r>
            <w:r>
              <w:rPr>
                <w:rFonts w:hint="eastAsia" w:ascii="宋体" w:hAnsi="宋体" w:eastAsia="宋体" w:cs="宋体"/>
                <w:color w:val="auto"/>
                <w:sz w:val="22"/>
                <w:szCs w:val="22"/>
                <w:highlight w:val="none"/>
                <w:lang w:val="en-US" w:eastAsia="zh-CN"/>
              </w:rPr>
              <w:t>工程项目施工业绩1个及以上。</w:t>
            </w:r>
          </w:p>
        </w:tc>
        <w:tc>
          <w:tcPr>
            <w:tcW w:w="11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0" w:type="dxa"/>
            <w:bottom w:w="0" w:type="dxa"/>
            <w:right w:w="0" w:type="dxa"/>
          </w:tblCellMar>
        </w:tblPrEx>
        <w:trPr>
          <w:trHeight w:val="1604"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kern w:val="2"/>
                <w:sz w:val="22"/>
                <w:szCs w:val="21"/>
                <w:highlight w:val="none"/>
                <w:lang w:val="en-US" w:eastAsia="zh-CN" w:bidi="ar-SA"/>
              </w:rPr>
            </w:pPr>
            <w:r>
              <w:rPr>
                <w:rFonts w:hint="eastAsia" w:ascii="宋体" w:hAnsi="宋体" w:eastAsia="宋体" w:cs="宋体"/>
                <w:color w:val="auto"/>
                <w:sz w:val="22"/>
                <w:szCs w:val="22"/>
                <w:highlight w:val="none"/>
                <w:lang w:val="en-US" w:eastAsia="zh-CN"/>
              </w:rPr>
              <w:t>LM2-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标段</w:t>
            </w:r>
          </w:p>
        </w:tc>
        <w:tc>
          <w:tcPr>
            <w:tcW w:w="16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2"/>
                <w:szCs w:val="22"/>
                <w:highlight w:val="none"/>
                <w:lang w:val="en-US" w:eastAsia="zh-CN"/>
              </w:rPr>
              <w:t>水泥稳定碎石和级配碎石</w:t>
            </w:r>
          </w:p>
        </w:tc>
        <w:tc>
          <w:tcPr>
            <w:tcW w:w="4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具有政府主管部门颁布的公路工程施工总承包三级及以上资质或施工劳务资质</w:t>
            </w:r>
          </w:p>
        </w:tc>
        <w:tc>
          <w:tcPr>
            <w:tcW w:w="49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2"/>
                <w:szCs w:val="22"/>
                <w:highlight w:val="none"/>
                <w:lang w:val="en-US" w:eastAsia="zh-CN"/>
              </w:rPr>
              <w:t>五年内（2017年5月1日至今，以合同签订时间为准）完成路面工程项目施工业绩1个及以上。</w:t>
            </w:r>
          </w:p>
        </w:tc>
        <w:tc>
          <w:tcPr>
            <w:tcW w:w="11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p>
        </w:tc>
      </w:tr>
    </w:tbl>
    <w:p>
      <w:pPr>
        <w:pStyle w:val="2"/>
        <w:ind w:left="0" w:leftChars="0" w:firstLine="0" w:firstLineChars="0"/>
        <w:rPr>
          <w:rFonts w:hint="eastAsia" w:ascii="宋体" w:hAnsi="宋体" w:eastAsia="宋体" w:cs="宋体"/>
          <w:b/>
          <w:color w:val="auto"/>
          <w:sz w:val="32"/>
          <w:szCs w:val="32"/>
          <w:highlight w:val="none"/>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三</w:t>
      </w:r>
    </w:p>
    <w:tbl>
      <w:tblPr>
        <w:tblStyle w:val="5"/>
        <w:tblpPr w:leftFromText="180" w:rightFromText="180" w:vertAnchor="text"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042"/>
        <w:gridCol w:w="2940"/>
        <w:gridCol w:w="1102"/>
        <w:gridCol w:w="278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4" w:space="0"/>
              <w:tl2br w:val="nil"/>
              <w:tr2bl w:val="nil"/>
            </w:tcBorders>
            <w:tcMar>
              <w:top w:w="15" w:type="dxa"/>
              <w:left w:w="15" w:type="dxa"/>
              <w:right w:w="15" w:type="dxa"/>
            </w:tcMar>
            <w:vAlign w:val="center"/>
          </w:tcPr>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bCs/>
                <w:color w:val="auto"/>
                <w:sz w:val="28"/>
                <w:szCs w:val="28"/>
                <w:highlight w:val="none"/>
                <w:lang w:val="en-US" w:eastAsia="zh-CN"/>
              </w:rPr>
              <w:t>G5京昆高速公路绵阳至成都段扩容项目路面2标主体水稳工程劳务合作项</w:t>
            </w:r>
            <w:r>
              <w:rPr>
                <w:rFonts w:hint="eastAsia" w:ascii="宋体" w:hAnsi="宋体" w:cs="宋体"/>
                <w:b/>
                <w:bCs/>
                <w:color w:val="auto"/>
                <w:sz w:val="28"/>
                <w:szCs w:val="28"/>
                <w:highlight w:val="none"/>
                <w:lang w:val="en-US" w:eastAsia="zh-CN"/>
              </w:rPr>
              <w:t>目</w:t>
            </w:r>
            <w:r>
              <w:rPr>
                <w:rFonts w:hint="eastAsia" w:ascii="宋体" w:hAnsi="宋体" w:eastAsia="宋体" w:cs="宋体"/>
                <w:b/>
                <w:bCs/>
                <w:color w:val="auto"/>
                <w:sz w:val="28"/>
                <w:szCs w:val="28"/>
                <w:highlight w:val="none"/>
                <w:lang w:val="en-US" w:eastAsia="zh-CN"/>
              </w:rPr>
              <w:t>LM2-</w:t>
            </w:r>
            <w:r>
              <w:rPr>
                <w:rFonts w:hint="eastAsia" w:ascii="宋体" w:hAnsi="宋体" w:cs="宋体"/>
                <w:b/>
                <w:bCs/>
                <w:color w:val="auto"/>
                <w:sz w:val="28"/>
                <w:szCs w:val="28"/>
                <w:highlight w:val="none"/>
                <w:lang w:val="en-US" w:eastAsia="zh-CN"/>
              </w:rPr>
              <w:t>3、4</w:t>
            </w:r>
            <w:r>
              <w:rPr>
                <w:rFonts w:hint="eastAsia" w:ascii="宋体" w:hAnsi="宋体" w:eastAsia="宋体" w:cs="宋体"/>
                <w:b/>
                <w:bCs/>
                <w:color w:val="auto"/>
                <w:sz w:val="28"/>
                <w:szCs w:val="28"/>
                <w:highlight w:val="none"/>
                <w:lang w:val="en-US" w:eastAsia="zh-CN"/>
              </w:rPr>
              <w:t>标段(水稳一</w:t>
            </w:r>
            <w:r>
              <w:rPr>
                <w:rFonts w:hint="eastAsia" w:ascii="宋体" w:hAnsi="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val="en-US" w:eastAsia="zh-CN"/>
              </w:rPr>
              <w:t>队)</w:t>
            </w:r>
            <w:r>
              <w:rPr>
                <w:rFonts w:hint="eastAsia" w:ascii="宋体" w:hAnsi="宋体" w:eastAsia="宋体" w:cs="宋体"/>
                <w:b/>
                <w:color w:val="auto"/>
                <w:kern w:val="0"/>
                <w:sz w:val="28"/>
                <w:szCs w:val="28"/>
                <w:highlight w:val="none"/>
                <w:lang w:bidi="ar"/>
              </w:rPr>
              <w:t>拟投入人员</w:t>
            </w:r>
            <w:r>
              <w:rPr>
                <w:rFonts w:hint="eastAsia" w:ascii="宋体" w:hAnsi="宋体" w:eastAsia="宋体" w:cs="宋体"/>
                <w:b/>
                <w:color w:val="auto"/>
                <w:kern w:val="0"/>
                <w:sz w:val="28"/>
                <w:szCs w:val="28"/>
                <w:highlight w:val="none"/>
                <w:lang w:val="en-US" w:eastAsia="zh-CN" w:bidi="ar"/>
              </w:rPr>
              <w:t>配置表</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宋体" w:hAnsi="宋体" w:eastAsia="宋体" w:cs="宋体"/>
                <w:b/>
                <w:color w:val="auto"/>
                <w:kern w:val="0"/>
                <w:sz w:val="28"/>
                <w:szCs w:val="28"/>
                <w:highlight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6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7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牵头负责项目施工全面工作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color w:val="auto"/>
                <w:kern w:val="0"/>
                <w:sz w:val="21"/>
                <w:szCs w:val="21"/>
                <w:highlight w:val="none"/>
                <w:lang w:bidi="ar"/>
              </w:rPr>
              <w:t>在1个</w:t>
            </w:r>
            <w:r>
              <w:rPr>
                <w:rFonts w:hint="eastAsia" w:ascii="宋体" w:hAnsi="宋体" w:cs="宋体"/>
                <w:color w:val="auto"/>
                <w:kern w:val="0"/>
                <w:sz w:val="21"/>
                <w:szCs w:val="21"/>
                <w:highlight w:val="none"/>
                <w:lang w:val="en-US" w:eastAsia="zh-CN" w:bidi="ar"/>
              </w:rPr>
              <w:t>路面工程</w:t>
            </w:r>
            <w:r>
              <w:rPr>
                <w:rFonts w:hint="eastAsia" w:ascii="宋体" w:hAnsi="宋体" w:eastAsia="宋体" w:cs="宋体"/>
                <w:color w:val="auto"/>
                <w:kern w:val="0"/>
                <w:sz w:val="21"/>
                <w:szCs w:val="21"/>
                <w:highlight w:val="none"/>
                <w:lang w:bidi="ar"/>
              </w:rPr>
              <w:t>项目担任项目负责人或项目技术负责人</w:t>
            </w:r>
            <w:r>
              <w:rPr>
                <w:rFonts w:hint="eastAsia" w:ascii="宋体" w:hAnsi="宋体" w:eastAsia="宋体" w:cs="宋体"/>
                <w:color w:val="auto"/>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85"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协助项目负责人负责项目进度、技术、质量等工作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color w:val="auto"/>
                <w:kern w:val="0"/>
                <w:sz w:val="21"/>
                <w:szCs w:val="21"/>
                <w:highlight w:val="none"/>
                <w:lang w:bidi="ar"/>
              </w:rPr>
              <w:t>在1个</w:t>
            </w:r>
            <w:r>
              <w:rPr>
                <w:rFonts w:hint="eastAsia" w:ascii="宋体" w:hAnsi="宋体" w:cs="宋体"/>
                <w:color w:val="auto"/>
                <w:kern w:val="0"/>
                <w:sz w:val="21"/>
                <w:szCs w:val="21"/>
                <w:highlight w:val="none"/>
                <w:lang w:val="en-US" w:eastAsia="zh-CN" w:bidi="ar"/>
              </w:rPr>
              <w:t>路面工程</w:t>
            </w:r>
            <w:r>
              <w:rPr>
                <w:rFonts w:hint="eastAsia" w:ascii="宋体" w:hAnsi="宋体" w:eastAsia="宋体" w:cs="宋体"/>
                <w:color w:val="auto"/>
                <w:kern w:val="0"/>
                <w:sz w:val="21"/>
                <w:szCs w:val="21"/>
                <w:highlight w:val="none"/>
                <w:lang w:bidi="ar"/>
              </w:rPr>
              <w:t>项目担任项目负责人或项目技术负责人</w:t>
            </w:r>
            <w:r>
              <w:rPr>
                <w:rFonts w:hint="eastAsia" w:ascii="宋体" w:hAnsi="宋体" w:eastAsia="宋体" w:cs="宋体"/>
                <w:color w:val="auto"/>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安全负责人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负责现场安全、安全交底、安全检查</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val="en-US" w:eastAsia="zh-CN"/>
              </w:rPr>
              <w:t>持安全C证以及相关工作经验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20"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现场技术员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负责现场测量、放线工作</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施工管理、记录表</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color w:val="auto"/>
                <w:kern w:val="0"/>
                <w:szCs w:val="21"/>
                <w:highlight w:val="none"/>
                <w:lang w:bidi="ar"/>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20"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内业人员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负责内业资料、结算及物资管理等相关工作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20" w:hRule="atLeast"/>
        </w:trPr>
        <w:tc>
          <w:tcPr>
            <w:tcW w:w="9780" w:type="dxa"/>
            <w:gridSpan w:val="5"/>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1、本表为主要人员的最低要求，投标人应根据施工需要或招标人的要求增加相关专业技术人员。 2、如因投标人的原因(除不可抗拒因素外)更换上述主要人员，须报请招标人批准，更换人员的资质不能低于招标文件要求。自行更换主要负责人的，对投标人按每人次课以50万元人民币违约金。3、相关管理人员及技术人员必须在岗，有特殊情况离岗必须向项目部请假并得到批准。</w:t>
            </w:r>
          </w:p>
        </w:tc>
      </w:tr>
    </w:tbl>
    <w:p>
      <w:pPr>
        <w:pStyle w:val="2"/>
        <w:ind w:firstLine="0"/>
        <w:jc w:val="left"/>
        <w:rPr>
          <w:rFonts w:hint="eastAsia" w:ascii="宋体" w:hAnsi="宋体" w:eastAsia="宋体" w:cs="宋体"/>
          <w:b/>
          <w:color w:val="auto"/>
          <w:sz w:val="28"/>
          <w:szCs w:val="28"/>
          <w:highlight w:val="none"/>
        </w:rPr>
      </w:pPr>
    </w:p>
    <w:p>
      <w:pPr>
        <w:pStyle w:val="2"/>
        <w:ind w:firstLine="0"/>
        <w:jc w:val="left"/>
        <w:rPr>
          <w:rFonts w:hint="eastAsia" w:ascii="宋体" w:hAnsi="宋体" w:eastAsia="宋体" w:cs="宋体"/>
          <w:b/>
          <w:color w:val="auto"/>
          <w:sz w:val="28"/>
          <w:szCs w:val="28"/>
          <w:highlight w:val="none"/>
        </w:rPr>
      </w:pPr>
    </w:p>
    <w:p>
      <w:pPr>
        <w:pStyle w:val="2"/>
        <w:ind w:firstLine="0"/>
        <w:jc w:val="left"/>
        <w:rPr>
          <w:rFonts w:hint="eastAsia" w:ascii="宋体" w:hAnsi="宋体" w:eastAsia="宋体" w:cs="宋体"/>
          <w:b/>
          <w:color w:val="auto"/>
          <w:sz w:val="28"/>
          <w:szCs w:val="28"/>
          <w:highlight w:val="none"/>
        </w:rPr>
      </w:pPr>
    </w:p>
    <w:p>
      <w:pPr>
        <w:pStyle w:val="2"/>
        <w:ind w:firstLine="0"/>
        <w:jc w:val="left"/>
        <w:rPr>
          <w:rFonts w:hint="eastAsia" w:ascii="宋体" w:hAnsi="宋体" w:eastAsia="宋体" w:cs="宋体"/>
          <w:b/>
          <w:color w:val="auto"/>
          <w:sz w:val="28"/>
          <w:szCs w:val="28"/>
          <w:highlight w:val="none"/>
        </w:rPr>
      </w:pPr>
    </w:p>
    <w:p>
      <w:pPr>
        <w:pStyle w:val="2"/>
        <w:ind w:firstLine="0"/>
        <w:jc w:val="left"/>
        <w:rPr>
          <w:rFonts w:hint="eastAsia" w:ascii="宋体" w:hAnsi="宋体" w:eastAsia="宋体" w:cs="宋体"/>
          <w:b/>
          <w:color w:val="auto"/>
          <w:sz w:val="28"/>
          <w:szCs w:val="28"/>
          <w:highlight w:val="none"/>
        </w:rPr>
      </w:pPr>
    </w:p>
    <w:p>
      <w:pPr>
        <w:pStyle w:val="2"/>
        <w:ind w:firstLine="0"/>
        <w:jc w:val="left"/>
        <w:rPr>
          <w:rFonts w:hint="eastAsia" w:ascii="宋体" w:hAnsi="宋体" w:eastAsia="宋体" w:cs="宋体"/>
          <w:b/>
          <w:color w:val="auto"/>
          <w:sz w:val="28"/>
          <w:szCs w:val="28"/>
          <w:highlight w:val="none"/>
        </w:rPr>
      </w:pPr>
    </w:p>
    <w:p>
      <w:pPr>
        <w:pStyle w:val="2"/>
        <w:ind w:firstLine="0"/>
        <w:jc w:val="left"/>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rPr>
      </w:pPr>
    </w:p>
    <w:p>
      <w:pPr>
        <w:pStyle w:val="2"/>
        <w:ind w:firstLine="0"/>
        <w:jc w:val="left"/>
        <w:rPr>
          <w:rFonts w:hint="eastAsia" w:ascii="宋体" w:hAnsi="宋体" w:eastAsia="宋体" w:cs="宋体"/>
          <w:color w:val="auto"/>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四</w:t>
      </w:r>
    </w:p>
    <w:tbl>
      <w:tblPr>
        <w:tblStyle w:val="5"/>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eastAsia="宋体" w:cs="宋体"/>
                <w:b/>
                <w:bCs/>
                <w:color w:val="auto"/>
                <w:sz w:val="28"/>
                <w:szCs w:val="28"/>
                <w:highlight w:val="none"/>
                <w:lang w:val="en-US" w:eastAsia="zh-CN"/>
              </w:rPr>
              <w:t>G5京昆高速公路绵阳至成都段扩容项目路面2标主体</w:t>
            </w:r>
            <w:r>
              <w:rPr>
                <w:rFonts w:hint="eastAsia" w:ascii="宋体" w:hAnsi="宋体" w:cs="宋体"/>
                <w:b/>
                <w:bCs/>
                <w:color w:val="auto"/>
                <w:sz w:val="28"/>
                <w:szCs w:val="28"/>
                <w:highlight w:val="none"/>
                <w:lang w:val="en-US" w:eastAsia="zh-CN"/>
              </w:rPr>
              <w:t>水稳</w:t>
            </w:r>
            <w:r>
              <w:rPr>
                <w:rFonts w:hint="eastAsia" w:ascii="宋体" w:hAnsi="宋体" w:eastAsia="宋体" w:cs="宋体"/>
                <w:b/>
                <w:bCs/>
                <w:color w:val="auto"/>
                <w:sz w:val="28"/>
                <w:szCs w:val="28"/>
                <w:highlight w:val="none"/>
                <w:lang w:val="en-US" w:eastAsia="zh-CN"/>
              </w:rPr>
              <w:t>工程劳务合作项目LM2-</w:t>
            </w:r>
            <w:r>
              <w:rPr>
                <w:rFonts w:hint="eastAsia" w:ascii="宋体" w:hAnsi="宋体" w:cs="宋体"/>
                <w:b/>
                <w:bCs/>
                <w:color w:val="auto"/>
                <w:sz w:val="28"/>
                <w:szCs w:val="28"/>
                <w:highlight w:val="none"/>
                <w:lang w:val="en-US" w:eastAsia="zh-CN"/>
              </w:rPr>
              <w:t>3、4</w:t>
            </w:r>
            <w:r>
              <w:rPr>
                <w:rFonts w:hint="eastAsia" w:ascii="宋体" w:hAnsi="宋体" w:eastAsia="宋体" w:cs="宋体"/>
                <w:b/>
                <w:bCs/>
                <w:color w:val="auto"/>
                <w:sz w:val="28"/>
                <w:szCs w:val="28"/>
                <w:highlight w:val="none"/>
                <w:lang w:val="en-US" w:eastAsia="zh-CN"/>
              </w:rPr>
              <w:t>标段(水稳一</w:t>
            </w:r>
            <w:r>
              <w:rPr>
                <w:rFonts w:hint="eastAsia" w:ascii="宋体" w:hAnsi="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val="en-US" w:eastAsia="zh-CN"/>
              </w:rPr>
              <w:t>队)</w:t>
            </w:r>
            <w:r>
              <w:rPr>
                <w:rFonts w:hint="eastAsia" w:ascii="宋体" w:hAnsi="宋体" w:eastAsia="宋体" w:cs="宋体"/>
                <w:b/>
                <w:bCs/>
                <w:color w:val="auto"/>
                <w:sz w:val="28"/>
                <w:szCs w:val="28"/>
                <w:highlight w:val="none"/>
                <w:lang w:eastAsia="zh-CN"/>
              </w:rPr>
              <w:t>拟</w:t>
            </w:r>
            <w:r>
              <w:rPr>
                <w:rFonts w:hint="eastAsia" w:ascii="宋体" w:hAnsi="宋体" w:eastAsia="宋体" w:cs="宋体"/>
                <w:b/>
                <w:i w:val="0"/>
                <w:color w:val="auto"/>
                <w:kern w:val="0"/>
                <w:sz w:val="28"/>
                <w:szCs w:val="28"/>
                <w:highlight w:val="none"/>
                <w:u w:val="none"/>
                <w:lang w:val="en-US" w:eastAsia="zh-CN" w:bidi="ar"/>
              </w:rPr>
              <w:t>投入设备配置表</w:t>
            </w:r>
          </w:p>
          <w:tbl>
            <w:tblPr>
              <w:tblStyle w:val="5"/>
              <w:tblpPr w:leftFromText="180" w:rightFromText="180" w:vertAnchor="text" w:horzAnchor="page" w:tblpXSpec="center" w:tblpY="462"/>
              <w:tblOverlap w:val="never"/>
              <w:tblW w:w="9525" w:type="dxa"/>
              <w:jc w:val="center"/>
              <w:tblLayout w:type="fixed"/>
              <w:tblCellMar>
                <w:top w:w="0" w:type="dxa"/>
                <w:left w:w="108" w:type="dxa"/>
                <w:bottom w:w="0" w:type="dxa"/>
                <w:right w:w="108" w:type="dxa"/>
              </w:tblCellMar>
            </w:tblPr>
            <w:tblGrid>
              <w:gridCol w:w="651"/>
              <w:gridCol w:w="1619"/>
              <w:gridCol w:w="1475"/>
              <w:gridCol w:w="648"/>
              <w:gridCol w:w="511"/>
              <w:gridCol w:w="861"/>
              <w:gridCol w:w="705"/>
              <w:gridCol w:w="1119"/>
              <w:gridCol w:w="825"/>
              <w:gridCol w:w="1111"/>
            </w:tblGrid>
            <w:tr>
              <w:tblPrEx>
                <w:tblCellMar>
                  <w:top w:w="0" w:type="dxa"/>
                  <w:left w:w="108" w:type="dxa"/>
                  <w:bottom w:w="0" w:type="dxa"/>
                  <w:right w:w="108" w:type="dxa"/>
                </w:tblCellMar>
              </w:tblPrEx>
              <w:trPr>
                <w:trHeight w:val="344" w:hRule="atLeast"/>
                <w:jc w:val="center"/>
              </w:trPr>
              <w:tc>
                <w:tcPr>
                  <w:tcW w:w="651" w:type="dxa"/>
                  <w:vMerge w:val="restart"/>
                  <w:tcBorders>
                    <w:top w:val="single" w:color="000000" w:sz="4" w:space="0"/>
                    <w:left w:val="single" w:color="000000" w:sz="4" w:space="0"/>
                    <w:right w:val="single" w:color="000000" w:sz="4" w:space="0"/>
                    <w:tl2br w:val="nil"/>
                    <w:tr2bl w:val="nil"/>
                  </w:tcBorders>
                  <w:vAlign w:val="center"/>
                </w:tcPr>
                <w:p>
                  <w:pPr>
                    <w:pStyle w:val="8"/>
                    <w:kinsoku w:val="0"/>
                    <w:overflowPunct w:val="0"/>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19" w:type="dxa"/>
                  <w:vMerge w:val="restart"/>
                  <w:tcBorders>
                    <w:top w:val="single" w:color="000000" w:sz="4" w:space="0"/>
                    <w:left w:val="single" w:color="000000" w:sz="4" w:space="0"/>
                    <w:right w:val="single" w:color="000000" w:sz="4" w:space="0"/>
                    <w:tl2br w:val="nil"/>
                    <w:tr2bl w:val="nil"/>
                  </w:tcBorders>
                  <w:vAlign w:val="center"/>
                </w:tcPr>
                <w:p>
                  <w:pPr>
                    <w:pStyle w:val="8"/>
                    <w:kinsoku w:val="0"/>
                    <w:overflowPunct w:val="0"/>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机械设备</w:t>
                  </w:r>
                </w:p>
                <w:p>
                  <w:pPr>
                    <w:pStyle w:val="8"/>
                    <w:kinsoku w:val="0"/>
                    <w:overflowPunct w:val="0"/>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475" w:type="dxa"/>
                  <w:vMerge w:val="restart"/>
                  <w:tcBorders>
                    <w:top w:val="single" w:color="000000" w:sz="4" w:space="0"/>
                    <w:left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规格、型号</w:t>
                  </w:r>
                </w:p>
              </w:tc>
              <w:tc>
                <w:tcPr>
                  <w:tcW w:w="648" w:type="dxa"/>
                  <w:vMerge w:val="restart"/>
                  <w:tcBorders>
                    <w:top w:val="single" w:color="auto" w:sz="4" w:space="0"/>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出厂日期</w:t>
                  </w:r>
                </w:p>
              </w:tc>
              <w:tc>
                <w:tcPr>
                  <w:tcW w:w="51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w:t>
                  </w:r>
                </w:p>
              </w:tc>
              <w:tc>
                <w:tcPr>
                  <w:tcW w:w="1566" w:type="dxa"/>
                  <w:gridSpan w:val="2"/>
                  <w:tcBorders>
                    <w:top w:val="single" w:color="000000" w:sz="4" w:space="0"/>
                    <w:left w:val="single" w:color="auto" w:sz="4" w:space="0"/>
                    <w:bottom w:val="single" w:color="000000" w:sz="4" w:space="0"/>
                    <w:right w:val="single" w:color="000000" w:sz="4" w:space="0"/>
                    <w:tl2br w:val="nil"/>
                    <w:tr2bl w:val="nil"/>
                  </w:tcBorders>
                  <w:vAlign w:val="center"/>
                </w:tcPr>
                <w:p>
                  <w:pPr>
                    <w:pStyle w:val="8"/>
                    <w:spacing w:line="260" w:lineRule="exact"/>
                    <w:jc w:val="center"/>
                    <w:rPr>
                      <w:rFonts w:hint="eastAsia" w:ascii="宋体" w:hAnsi="宋体" w:eastAsia="宋体" w:cs="宋体"/>
                      <w:bCs/>
                      <w:color w:val="auto"/>
                      <w:szCs w:val="21"/>
                      <w:highlight w:val="none"/>
                      <w:lang w:val="en-US" w:bidi="ar-SA"/>
                    </w:rPr>
                  </w:pPr>
                  <w:r>
                    <w:rPr>
                      <w:rFonts w:hint="eastAsia" w:ascii="宋体" w:hAnsi="宋体" w:eastAsia="宋体" w:cs="宋体"/>
                      <w:color w:val="auto"/>
                      <w:szCs w:val="21"/>
                      <w:highlight w:val="none"/>
                      <w:lang w:val="en-US" w:bidi="ar-SA"/>
                    </w:rPr>
                    <w:t>基本要求</w:t>
                  </w:r>
                </w:p>
              </w:tc>
              <w:tc>
                <w:tcPr>
                  <w:tcW w:w="1119"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每增加一台自有设备加分值</w:t>
                  </w:r>
                </w:p>
              </w:tc>
              <w:tc>
                <w:tcPr>
                  <w:tcW w:w="825" w:type="dxa"/>
                  <w:vMerge w:val="restart"/>
                  <w:tcBorders>
                    <w:top w:val="single" w:color="000000" w:sz="4" w:space="0"/>
                    <w:left w:val="single" w:color="000000" w:sz="4" w:space="0"/>
                    <w:right w:val="single" w:color="auto" w:sz="4" w:space="0"/>
                    <w:tl2br w:val="nil"/>
                    <w:tr2bl w:val="nil"/>
                  </w:tcBorders>
                  <w:vAlign w:val="center"/>
                </w:tcPr>
                <w:p>
                  <w:pPr>
                    <w:pStyle w:val="8"/>
                    <w:kinsoku w:val="0"/>
                    <w:overflowPunct w:val="0"/>
                    <w:spacing w:line="260" w:lineRule="exact"/>
                    <w:jc w:val="center"/>
                    <w:rPr>
                      <w:rFonts w:hint="eastAsia" w:ascii="宋体" w:hAnsi="宋体" w:eastAsia="宋体" w:cs="宋体"/>
                      <w:color w:val="auto"/>
                      <w:szCs w:val="21"/>
                      <w:highlight w:val="none"/>
                      <w:lang w:val="en-US" w:bidi="ar-SA"/>
                    </w:rPr>
                  </w:pPr>
                  <w:r>
                    <w:rPr>
                      <w:rFonts w:hint="eastAsia" w:ascii="宋体" w:hAnsi="宋体" w:eastAsia="宋体" w:cs="宋体"/>
                      <w:color w:val="auto"/>
                      <w:szCs w:val="21"/>
                      <w:highlight w:val="none"/>
                      <w:lang w:val="en-US" w:bidi="ar-SA"/>
                    </w:rPr>
                    <w:t>加分上限</w:t>
                  </w:r>
                </w:p>
              </w:tc>
              <w:tc>
                <w:tcPr>
                  <w:tcW w:w="1111" w:type="dxa"/>
                  <w:vMerge w:val="restart"/>
                  <w:tcBorders>
                    <w:top w:val="single" w:color="auto" w:sz="4" w:space="0"/>
                    <w:left w:val="single" w:color="auto" w:sz="4" w:space="0"/>
                    <w:right w:val="single" w:color="auto" w:sz="4" w:space="0"/>
                    <w:tl2br w:val="nil"/>
                    <w:tr2bl w:val="nil"/>
                  </w:tcBorders>
                  <w:vAlign w:val="center"/>
                </w:tcPr>
                <w:p>
                  <w:pPr>
                    <w:pStyle w:val="8"/>
                    <w:kinsoku w:val="0"/>
                    <w:overflowPunct w:val="0"/>
                    <w:spacing w:line="260" w:lineRule="exact"/>
                    <w:jc w:val="center"/>
                    <w:rPr>
                      <w:rFonts w:hint="eastAsia" w:ascii="宋体" w:hAnsi="宋体" w:eastAsia="宋体" w:cs="宋体"/>
                      <w:color w:val="auto"/>
                      <w:szCs w:val="21"/>
                      <w:highlight w:val="none"/>
                      <w:lang w:val="en-US" w:bidi="ar-SA"/>
                    </w:rPr>
                  </w:pPr>
                  <w:r>
                    <w:rPr>
                      <w:rFonts w:hint="eastAsia" w:ascii="宋体" w:hAnsi="宋体" w:eastAsia="宋体" w:cs="宋体"/>
                      <w:color w:val="auto"/>
                      <w:szCs w:val="21"/>
                      <w:highlight w:val="none"/>
                      <w:lang w:val="en-US" w:bidi="ar-SA"/>
                    </w:rPr>
                    <w:t>备注</w:t>
                  </w:r>
                </w:p>
              </w:tc>
            </w:tr>
            <w:tr>
              <w:tblPrEx>
                <w:tblCellMar>
                  <w:top w:w="0" w:type="dxa"/>
                  <w:left w:w="108" w:type="dxa"/>
                  <w:bottom w:w="0" w:type="dxa"/>
                  <w:right w:w="108" w:type="dxa"/>
                </w:tblCellMar>
              </w:tblPrEx>
              <w:trPr>
                <w:trHeight w:val="857" w:hRule="atLeast"/>
                <w:jc w:val="center"/>
              </w:trPr>
              <w:tc>
                <w:tcPr>
                  <w:tcW w:w="65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1619"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1475" w:type="dxa"/>
                  <w:vMerge w:val="continue"/>
                  <w:tcBorders>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648"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5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pStyle w:val="8"/>
                    <w:spacing w:line="260" w:lineRule="exact"/>
                    <w:jc w:val="center"/>
                    <w:rPr>
                      <w:rFonts w:hint="eastAsia" w:ascii="宋体" w:hAnsi="宋体" w:eastAsia="宋体" w:cs="宋体"/>
                      <w:bCs/>
                      <w:color w:val="auto"/>
                      <w:szCs w:val="21"/>
                      <w:highlight w:val="none"/>
                      <w:lang w:val="en-US" w:eastAsia="zh-CN" w:bidi="ar-SA"/>
                    </w:rPr>
                  </w:pPr>
                  <w:r>
                    <w:rPr>
                      <w:rFonts w:hint="eastAsia" w:ascii="宋体" w:hAnsi="宋体" w:eastAsia="宋体" w:cs="宋体"/>
                      <w:color w:val="auto"/>
                      <w:szCs w:val="21"/>
                      <w:highlight w:val="none"/>
                      <w:lang w:val="en-US" w:bidi="ar-SA"/>
                    </w:rPr>
                    <w:t>总数量</w:t>
                  </w:r>
                </w:p>
              </w:tc>
              <w:tc>
                <w:tcPr>
                  <w:tcW w:w="705" w:type="dxa"/>
                  <w:tcBorders>
                    <w:left w:val="single" w:color="000000" w:sz="4" w:space="0"/>
                    <w:bottom w:val="single" w:color="000000" w:sz="4" w:space="0"/>
                    <w:right w:val="single" w:color="000000" w:sz="4" w:space="0"/>
                    <w:tl2br w:val="nil"/>
                    <w:tr2bl w:val="nil"/>
                  </w:tcBorders>
                  <w:vAlign w:val="center"/>
                </w:tcPr>
                <w:p>
                  <w:pPr>
                    <w:pStyle w:val="8"/>
                    <w:spacing w:line="260" w:lineRule="exact"/>
                    <w:jc w:val="center"/>
                    <w:rPr>
                      <w:rFonts w:hint="eastAsia" w:ascii="宋体" w:hAnsi="宋体" w:eastAsia="宋体" w:cs="宋体"/>
                      <w:bCs/>
                      <w:color w:val="auto"/>
                      <w:szCs w:val="21"/>
                      <w:highlight w:val="none"/>
                      <w:lang w:val="en-US" w:bidi="ar-SA"/>
                    </w:rPr>
                  </w:pPr>
                  <w:r>
                    <w:rPr>
                      <w:rFonts w:hint="eastAsia" w:ascii="宋体" w:hAnsi="宋体" w:eastAsia="宋体" w:cs="宋体"/>
                      <w:color w:val="auto"/>
                      <w:szCs w:val="21"/>
                      <w:highlight w:val="none"/>
                      <w:lang w:val="en-US" w:bidi="ar-SA"/>
                    </w:rPr>
                    <w:t>自有设备</w:t>
                  </w:r>
                </w:p>
              </w:tc>
              <w:tc>
                <w:tcPr>
                  <w:tcW w:w="1119"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p>
              </w:tc>
              <w:tc>
                <w:tcPr>
                  <w:tcW w:w="825" w:type="dxa"/>
                  <w:vMerge w:val="continue"/>
                  <w:tcBorders>
                    <w:left w:val="single" w:color="000000"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p>
              </w:tc>
            </w:tr>
            <w:tr>
              <w:tblPrEx>
                <w:tblCellMar>
                  <w:top w:w="0" w:type="dxa"/>
                  <w:left w:w="108" w:type="dxa"/>
                  <w:bottom w:w="0" w:type="dxa"/>
                  <w:right w:w="108" w:type="dxa"/>
                </w:tblCellMar>
              </w:tblPrEx>
              <w:trPr>
                <w:trHeight w:val="5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sz w:val="21"/>
                      <w:szCs w:val="21"/>
                      <w:highlight w:val="none"/>
                    </w:rPr>
                  </w:pPr>
                  <w:r>
                    <w:rPr>
                      <w:rFonts w:hint="eastAsia" w:ascii="宋体" w:hAnsi="宋体" w:cs="宋体"/>
                      <w:i w:val="0"/>
                      <w:color w:val="000000"/>
                      <w:kern w:val="0"/>
                      <w:sz w:val="21"/>
                      <w:szCs w:val="21"/>
                      <w:u w:val="none"/>
                      <w:lang w:val="en-US" w:eastAsia="zh-CN" w:bidi="ar"/>
                    </w:rPr>
                    <w:t>直板</w:t>
                  </w:r>
                  <w:r>
                    <w:rPr>
                      <w:rFonts w:hint="eastAsia" w:ascii="宋体" w:hAnsi="宋体" w:eastAsia="宋体" w:cs="宋体"/>
                      <w:i w:val="0"/>
                      <w:color w:val="000000"/>
                      <w:kern w:val="0"/>
                      <w:sz w:val="21"/>
                      <w:szCs w:val="21"/>
                      <w:u w:val="none"/>
                      <w:lang w:val="en-US" w:eastAsia="zh-CN" w:bidi="ar"/>
                    </w:rPr>
                    <w:t>摊铺机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长城</w:t>
                  </w:r>
                </w:p>
              </w:tc>
              <w:tc>
                <w:tcPr>
                  <w:tcW w:w="648" w:type="dxa"/>
                  <w:vMerge w:val="restart"/>
                  <w:tcBorders>
                    <w:top w:val="single" w:color="auto" w:sz="4" w:space="0"/>
                    <w:left w:val="single" w:color="auto" w:sz="4" w:space="0"/>
                    <w:right w:val="single" w:color="auto" w:sz="4" w:space="0"/>
                    <w:tl2br w:val="nil"/>
                    <w:tr2bl w:val="nil"/>
                  </w:tcBorders>
                  <w:vAlign w:val="center"/>
                </w:tcPr>
                <w:p>
                  <w:pPr>
                    <w:spacing w:line="440" w:lineRule="exact"/>
                    <w:jc w:val="left"/>
                    <w:rPr>
                      <w:rFonts w:hint="default" w:ascii="宋体" w:hAnsi="宋体" w:eastAsia="宋体" w:cs="宋体"/>
                      <w:bCs/>
                      <w:color w:val="auto"/>
                      <w:sz w:val="21"/>
                      <w:szCs w:val="21"/>
                      <w:highlight w:val="none"/>
                      <w:lang w:val="en-US" w:eastAsia="zh-CN"/>
                    </w:rPr>
                  </w:pPr>
                  <w:r>
                    <w:rPr>
                      <w:rFonts w:hint="eastAsia" w:ascii="宋体" w:hAnsi="宋体" w:eastAsia="宋体" w:cs="宋体"/>
                      <w:color w:val="auto"/>
                      <w:szCs w:val="22"/>
                      <w:highlight w:val="none"/>
                      <w:lang w:val="en-US" w:eastAsia="zh-CN"/>
                    </w:rPr>
                    <w:t>2017年</w:t>
                  </w:r>
                  <w:r>
                    <w:rPr>
                      <w:rFonts w:hint="eastAsia" w:ascii="宋体" w:hAnsi="宋体" w:cs="宋体"/>
                      <w:color w:val="auto"/>
                      <w:szCs w:val="22"/>
                      <w:highlight w:val="none"/>
                      <w:lang w:val="en-US" w:eastAsia="zh-CN"/>
                    </w:rPr>
                    <w:t>5</w:t>
                  </w:r>
                  <w:r>
                    <w:rPr>
                      <w:rFonts w:hint="eastAsia" w:ascii="宋体" w:hAnsi="宋体" w:eastAsia="宋体" w:cs="宋体"/>
                      <w:color w:val="auto"/>
                      <w:szCs w:val="22"/>
                      <w:highlight w:val="none"/>
                      <w:lang w:val="en-US" w:eastAsia="zh-CN"/>
                    </w:rPr>
                    <w:t>月后</w:t>
                  </w: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kern w:val="2"/>
                      <w:sz w:val="21"/>
                      <w:szCs w:val="21"/>
                      <w:highlight w:val="none"/>
                      <w:lang w:val="en-US" w:eastAsia="zh-CN" w:bidi="ar-SA"/>
                    </w:rPr>
                  </w:pPr>
                  <w:r>
                    <w:rPr>
                      <w:rStyle w:val="9"/>
                      <w:rFonts w:hint="eastAsia" w:ascii="宋体" w:hAnsi="宋体" w:eastAsia="宋体" w:cs="宋体"/>
                      <w:sz w:val="21"/>
                      <w:szCs w:val="21"/>
                      <w:lang w:val="en-US" w:eastAsia="zh-CN" w:bidi="ar"/>
                    </w:rPr>
                    <w:t>双钢轮全液压压路机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r>
                    <w:rPr>
                      <w:rStyle w:val="9"/>
                      <w:rFonts w:hint="eastAsia" w:ascii="宋体" w:hAnsi="宋体" w:eastAsia="宋体" w:cs="宋体"/>
                      <w:sz w:val="21"/>
                      <w:szCs w:val="21"/>
                      <w:lang w:val="en-US" w:eastAsia="zh-CN" w:bidi="ar"/>
                    </w:rPr>
                    <w:t>13T</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胶轮压路机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26T</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电动装载机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山推LE56-X2</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u w:val="none"/>
                      <w:lang w:val="en-US" w:eastAsia="zh-CN" w:bidi="ar"/>
                    </w:rPr>
                    <w:t>单钢轮振动液压压路机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26T</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i w:val="0"/>
                      <w:color w:val="000000"/>
                      <w:kern w:val="0"/>
                      <w:sz w:val="21"/>
                      <w:szCs w:val="21"/>
                      <w:u w:val="none"/>
                      <w:lang w:val="en-US" w:eastAsia="zh-CN" w:bidi="ar"/>
                    </w:rPr>
                    <w:t>洒水车</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平地机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79"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小型压路机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水泥净浆洒布车</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水稳拌合</w:t>
                  </w:r>
                  <w:r>
                    <w:rPr>
                      <w:rFonts w:hint="eastAsia" w:ascii="宋体" w:hAnsi="宋体" w:cs="宋体"/>
                      <w:i w:val="0"/>
                      <w:color w:val="000000"/>
                      <w:kern w:val="0"/>
                      <w:sz w:val="21"/>
                      <w:szCs w:val="21"/>
                      <w:u w:val="none"/>
                      <w:lang w:val="en-US" w:eastAsia="zh-CN" w:bidi="ar"/>
                    </w:rPr>
                    <w:t>设备</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双缸800型</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套</w:t>
                  </w:r>
                </w:p>
              </w:tc>
              <w:tc>
                <w:tcPr>
                  <w:tcW w:w="861" w:type="dxa"/>
                  <w:tcBorders>
                    <w:top w:val="single" w:color="000000"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水稳拌合设备</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600型</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套</w:t>
                  </w:r>
                </w:p>
              </w:tc>
              <w:tc>
                <w:tcPr>
                  <w:tcW w:w="861" w:type="dxa"/>
                  <w:tcBorders>
                    <w:top w:val="single" w:color="000000"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装载机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50型</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扫地机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水准仪</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套</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电镐</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套</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森林灭火器</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台</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照明设备</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套</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平板拖车</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p>
              </w:tc>
              <w:tc>
                <w:tcPr>
                  <w:tcW w:w="648"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台</w:t>
                  </w:r>
                </w:p>
              </w:tc>
              <w:tc>
                <w:tcPr>
                  <w:tcW w:w="861" w:type="dxa"/>
                  <w:tcBorders>
                    <w:top w:val="single" w:color="000000"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bl>
          <w:p>
            <w:pPr>
              <w:keepNext w:val="0"/>
              <w:keepLines w:val="0"/>
              <w:widowControl/>
              <w:suppressLineNumbers w:val="0"/>
              <w:ind w:firstLine="0" w:firstLine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b/>
                <w:i w:val="0"/>
                <w:color w:val="auto"/>
                <w:kern w:val="0"/>
                <w:sz w:val="28"/>
                <w:szCs w:val="28"/>
                <w:highlight w:val="none"/>
                <w:u w:val="none"/>
                <w:lang w:val="en-US" w:eastAsia="zh-CN" w:bidi="ar"/>
              </w:rPr>
              <w:t>(最低要求）</w:t>
            </w:r>
          </w:p>
        </w:tc>
      </w:tr>
    </w:tbl>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注：1、若监理工程师或</w:t>
      </w:r>
      <w:r>
        <w:rPr>
          <w:rFonts w:hint="eastAsia" w:ascii="宋体" w:hAnsi="宋体" w:eastAsia="宋体" w:cs="宋体"/>
          <w:color w:val="auto"/>
          <w:sz w:val="18"/>
          <w:szCs w:val="18"/>
          <w:highlight w:val="none"/>
          <w:lang w:val="en-US" w:eastAsia="zh-CN"/>
        </w:rPr>
        <w:t>招标</w:t>
      </w:r>
      <w:r>
        <w:rPr>
          <w:rFonts w:hint="eastAsia" w:ascii="宋体" w:hAnsi="宋体" w:eastAsia="宋体" w:cs="宋体"/>
          <w:color w:val="auto"/>
          <w:sz w:val="18"/>
          <w:szCs w:val="18"/>
          <w:highlight w:val="none"/>
        </w:rPr>
        <w:t>人认为投标人配备的机械设备不能满足现场施工的需要，或不能保证工程质量和进度时，</w:t>
      </w:r>
      <w:r>
        <w:rPr>
          <w:rFonts w:hint="eastAsia" w:ascii="宋体" w:hAnsi="宋体" w:eastAsia="宋体" w:cs="宋体"/>
          <w:color w:val="auto"/>
          <w:sz w:val="18"/>
          <w:szCs w:val="18"/>
          <w:highlight w:val="none"/>
          <w:lang w:val="en-US" w:eastAsia="zh-CN"/>
        </w:rPr>
        <w:t>招标</w:t>
      </w:r>
      <w:r>
        <w:rPr>
          <w:rFonts w:hint="eastAsia" w:ascii="宋体" w:hAnsi="宋体" w:eastAsia="宋体" w:cs="宋体"/>
          <w:color w:val="auto"/>
          <w:sz w:val="18"/>
          <w:szCs w:val="18"/>
          <w:highlight w:val="none"/>
        </w:rPr>
        <w:t>人有权要求投标人增加。</w:t>
      </w:r>
    </w:p>
    <w:p>
      <w:pPr>
        <w:widowControl/>
        <w:ind w:firstLine="360" w:firstLineChars="20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本表中的总数量为承包人中标后向发包人承诺的投入最低设备要求，并以书面形式纳入合同附件。</w:t>
      </w:r>
    </w:p>
    <w:p>
      <w:pPr>
        <w:widowControl/>
        <w:ind w:firstLine="360" w:firstLineChars="200"/>
        <w:jc w:val="left"/>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 xml:space="preserve">3、设备需具备施工能力满足实际施工需要，自有设备需提供购买发票，投标人需保证发票真实有效，并在投标文件中提供的发票网上查验结果截图（国家税务总局全国增值税发票查验平台 </w:t>
      </w:r>
      <w:r>
        <w:rPr>
          <w:rFonts w:hint="eastAsia" w:ascii="宋体" w:hAnsi="宋体" w:eastAsia="宋体" w:cs="宋体"/>
          <w:b w:val="0"/>
          <w:bCs w:val="0"/>
          <w:color w:val="auto"/>
          <w:sz w:val="18"/>
          <w:szCs w:val="18"/>
          <w:highlight w:val="none"/>
          <w:lang w:val="en-US" w:eastAsia="zh-CN"/>
        </w:rPr>
        <w:fldChar w:fldCharType="begin"/>
      </w:r>
      <w:r>
        <w:rPr>
          <w:rFonts w:hint="eastAsia" w:ascii="宋体" w:hAnsi="宋体" w:eastAsia="宋体" w:cs="宋体"/>
          <w:b w:val="0"/>
          <w:bCs w:val="0"/>
          <w:color w:val="auto"/>
          <w:sz w:val="18"/>
          <w:szCs w:val="18"/>
          <w:highlight w:val="none"/>
          <w:lang w:val="en-US" w:eastAsia="zh-CN"/>
        </w:rPr>
        <w:instrText xml:space="preserve"> HYPERLINK "https://inv-veri.chinatax.gov.cn）。若为虚假发票，做废标处理。" </w:instrText>
      </w:r>
      <w:r>
        <w:rPr>
          <w:rFonts w:hint="eastAsia" w:ascii="宋体" w:hAnsi="宋体" w:eastAsia="宋体" w:cs="宋体"/>
          <w:b w:val="0"/>
          <w:bCs w:val="0"/>
          <w:color w:val="auto"/>
          <w:sz w:val="18"/>
          <w:szCs w:val="18"/>
          <w:highlight w:val="none"/>
          <w:lang w:val="en-US" w:eastAsia="zh-CN"/>
        </w:rPr>
        <w:fldChar w:fldCharType="separate"/>
      </w:r>
      <w:r>
        <w:rPr>
          <w:rStyle w:val="7"/>
          <w:rFonts w:hint="eastAsia" w:ascii="宋体" w:hAnsi="宋体" w:eastAsia="宋体" w:cs="宋体"/>
          <w:b w:val="0"/>
          <w:bCs w:val="0"/>
          <w:sz w:val="18"/>
          <w:szCs w:val="18"/>
          <w:highlight w:val="none"/>
          <w:lang w:val="en-US" w:eastAsia="zh-CN"/>
        </w:rPr>
        <w:t>https://inv-veri.chinatax.gov.cn）。若为虚假发票，做废标处理。</w:t>
      </w:r>
      <w:r>
        <w:rPr>
          <w:rFonts w:hint="eastAsia" w:ascii="宋体" w:hAnsi="宋体" w:eastAsia="宋体" w:cs="宋体"/>
          <w:b w:val="0"/>
          <w:bCs w:val="0"/>
          <w:color w:val="auto"/>
          <w:sz w:val="18"/>
          <w:szCs w:val="18"/>
          <w:highlight w:val="none"/>
          <w:lang w:val="en-US" w:eastAsia="zh-CN"/>
        </w:rPr>
        <w:fldChar w:fldCharType="end"/>
      </w:r>
    </w:p>
    <w:p>
      <w:pPr>
        <w:widowControl/>
        <w:jc w:val="center"/>
        <w:textAlignment w:val="center"/>
        <w:rPr>
          <w:rFonts w:hint="eastAsia" w:ascii="宋体" w:hAnsi="宋体" w:eastAsia="宋体" w:cs="宋体"/>
          <w:color w:val="auto"/>
          <w:kern w:val="0"/>
          <w:sz w:val="24"/>
          <w:szCs w:val="24"/>
          <w:highlight w:val="none"/>
          <w:lang w:bidi="ar"/>
        </w:rPr>
        <w:sectPr>
          <w:pgSz w:w="11911" w:h="16838"/>
          <w:pgMar w:top="1599" w:right="1179" w:bottom="1298" w:left="1100" w:header="0" w:footer="567" w:gutter="0"/>
          <w:cols w:space="720" w:num="1"/>
          <w:docGrid w:linePitch="1"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3ODU2ZjAzODEwMzdjYmJhNzQyYjk4YmE0MTUyZWUifQ=="/>
  </w:docVars>
  <w:rsids>
    <w:rsidRoot w:val="4A9D1126"/>
    <w:rsid w:val="4A9D1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character" w:styleId="7">
    <w:name w:val="Hyperlink"/>
    <w:basedOn w:val="6"/>
    <w:qFormat/>
    <w:uiPriority w:val="0"/>
    <w:rPr>
      <w:color w:val="0000FF"/>
      <w:u w:val="single"/>
    </w:rPr>
  </w:style>
  <w:style w:type="paragraph" w:customStyle="1" w:styleId="8">
    <w:name w:val="Table Paragraph"/>
    <w:basedOn w:val="1"/>
    <w:qFormat/>
    <w:uiPriority w:val="99"/>
  </w:style>
  <w:style w:type="character" w:customStyle="1" w:styleId="9">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2022-12-29T07:27:00Z</dcterms:created>
  <dc:creator>souvenir</dc:creator>
  <cp:lastModifiedBy>souvenir</cp:lastModifiedBy>
  <dcterms:modified xsi:type="dcterms:W3CDTF">2022-12-29T07:28:24Z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0500BCF881374250BEA834CE1633A227</vt:lpwstr>
  </property>
</Properties>
</file>