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四川交建集团科研基地项目土石方、基坑支护、降排水、临建工程施工分包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合同段划分、工程规模、工期统计表</w:t>
      </w:r>
    </w:p>
    <w:tbl>
      <w:tblPr>
        <w:tblStyle w:val="10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20"/>
        <w:gridCol w:w="1387"/>
        <w:gridCol w:w="3294"/>
        <w:gridCol w:w="2930"/>
        <w:gridCol w:w="3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施工内容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工期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备注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KYJD-1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施工分包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土石方、基坑支护、降排水工程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范围内的开挖土方约196885.6m³，连砂石213512.03m³，支护桩约350根，降水井30口，截水沟750m，沉砂池6个等全部相关内容及甲方提供材料外的所有材料。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施工图上包含的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项目驻地、民工生活区建设的集装箱、板房、绿化、给排水、场地硬化、供配电安装等所有施工内容。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3、1#2#地块现场临水临电包含消防管网、洗车槽、沉淀池、路面硬化及其他零星工程。（详见施工图纸）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150日历天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本次招标工程数量为暂定，最终工程量以现行计量计价规范、审计、业主、招标人确认的量为准（具体进场时间及各分项工程开工时间最终以招标人要求为准)。</w:t>
            </w:r>
          </w:p>
        </w:tc>
      </w:tr>
    </w:tbl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2"/>
        <w:rPr>
          <w:rFonts w:hint="eastAsia"/>
          <w:color w:val="auto"/>
          <w:highlight w:val="none"/>
          <w:lang w:val="en-US" w:eastAsia="zh-CN"/>
        </w:rPr>
      </w:pPr>
    </w:p>
    <w:p>
      <w:pPr>
        <w:pStyle w:val="3"/>
        <w:rPr>
          <w:rFonts w:hint="eastAsia"/>
          <w:color w:val="auto"/>
          <w:highlight w:val="none"/>
        </w:rPr>
        <w:sectPr>
          <w:pgSz w:w="16838" w:h="11911" w:orient="landscape"/>
          <w:pgMar w:top="1100" w:right="1599" w:bottom="1179" w:left="1298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1" w:charSpace="0"/>
        </w:sectPr>
      </w:pPr>
      <w:bookmarkStart w:id="0" w:name="_GoBack"/>
      <w:bookmarkEnd w:id="0"/>
    </w:p>
    <w:p>
      <w:pPr>
        <w:pStyle w:val="12"/>
        <w:ind w:firstLine="0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附表二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四川交建集团科研基地项目土石方、基坑支护、降排水、临建工程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施工企业资质等级要求、业绩基本要求</w:t>
      </w: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/>
          <w:highlight w:val="none"/>
        </w:rPr>
      </w:pPr>
    </w:p>
    <w:tbl>
      <w:tblPr>
        <w:tblStyle w:val="10"/>
        <w:tblW w:w="538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46"/>
        <w:gridCol w:w="1896"/>
        <w:gridCol w:w="3428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分段名称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特征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施工企业资质等级要求</w:t>
            </w:r>
          </w:p>
        </w:tc>
        <w:tc>
          <w:tcPr>
            <w:tcW w:w="1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业绩基本要求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KYJD-1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施工分包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具有政府主管部门颁发的地基与基础工程专业承包壹级资质。</w:t>
            </w:r>
          </w:p>
        </w:tc>
        <w:tc>
          <w:tcPr>
            <w:tcW w:w="1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具备一个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近五年内（自201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月1日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起至今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具有一个在建或已完工的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房屋建筑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地基与基础工程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施工业绩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包括劳务分包、专业分包、施工总承包业绩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以提供的合同协议书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签订时间或竣工验收报告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为准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1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1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1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1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四川交建集团科研基地项目土石方、基坑支护、降排水、临建工程施工分包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KYJD-1拟投入人员配置表(最低要求）</w:t>
      </w:r>
    </w:p>
    <w:p>
      <w:pPr>
        <w:pStyle w:val="1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63"/>
        <w:gridCol w:w="1987"/>
        <w:gridCol w:w="2796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人员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工作任务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人数/队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项目负责人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生产管理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项目技术负责人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技术管理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安全负责人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安全管理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须具备有效的安全生产考核合格C证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技术员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负责现场测量、放线、施工管理、记录表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内业人员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工程资料编制、填写、整理、收集、结算等相关工作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</w:rPr>
      </w:pPr>
    </w:p>
    <w:p>
      <w:pPr>
        <w:widowControl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注：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万元人民币违约金。</w:t>
      </w: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3、相关管理人员及技术人员必须在岗，有特殊情况离岗必须向项目部请假并得到批准。</w:t>
      </w: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jc w:val="left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四川交建集团科研基地项目土石方、基坑支护、降排水、临建工程施工分包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KYJD-1拟投入设备明细表(最低要求）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853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36"/>
        <w:gridCol w:w="1060"/>
        <w:gridCol w:w="671"/>
        <w:gridCol w:w="833"/>
        <w:gridCol w:w="1017"/>
        <w:gridCol w:w="1550"/>
        <w:gridCol w:w="617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0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6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装载机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5</w:t>
            </w: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0型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挖掘机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260</w:t>
            </w: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型</w:t>
            </w: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挖掘机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6</w:t>
            </w:r>
            <w:r>
              <w:rPr>
                <w:rFonts w:ascii="宋体" w:hAnsi="宋体"/>
                <w:color w:val="000000"/>
                <w:szCs w:val="24"/>
                <w:highlight w:val="none"/>
              </w:rPr>
              <w:t>0</w:t>
            </w: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型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4"/>
                <w:highlight w:val="none"/>
                <w:lang w:val="en-US" w:eastAsia="zh-CN"/>
              </w:rPr>
              <w:t>自卸汽车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吨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  <w:highlight w:val="none"/>
                <w:lang w:val="en-US" w:eastAsia="zh-CN"/>
              </w:rPr>
              <w:t>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旋挖机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注浆机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吊车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华文中宋"/>
                <w:color w:val="000000"/>
                <w:szCs w:val="24"/>
                <w:highlight w:val="none"/>
              </w:rPr>
              <w:t>25T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华文中宋"/>
                <w:color w:val="000000"/>
                <w:szCs w:val="24"/>
                <w:highlight w:val="none"/>
              </w:rPr>
              <w:t>钢筋调直机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华文中宋"/>
                <w:color w:val="000000"/>
                <w:szCs w:val="24"/>
                <w:highlight w:val="none"/>
              </w:rPr>
              <w:t>JK66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华文中宋"/>
                <w:color w:val="000000"/>
                <w:szCs w:val="24"/>
                <w:highlight w:val="none"/>
              </w:rPr>
              <w:t>钢筋弯曲机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钢筋断料机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GQ40-21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电焊机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AX300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空压机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12m</w:t>
            </w:r>
            <w:r>
              <w:rPr>
                <w:rFonts w:hint="eastAsia" w:hAnsi="宋体"/>
                <w:b w:val="0"/>
                <w:color w:val="000000"/>
                <w:szCs w:val="24"/>
                <w:highlight w:val="none"/>
                <w:vertAlign w:val="superscript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13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砼喷射机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PZ-5B</w:t>
            </w: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（干喷）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</w:t>
            </w: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柴油发电机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250KW/h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发电机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KW/h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冲击钻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手提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把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17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抽水泵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口径100mm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钻机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HM90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钻井机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hAnsi="宋体"/>
                <w:b w:val="0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shd w:val="clear" w:color="auto" w:fill="auto"/>
                <w:lang w:val="en-US" w:eastAsia="zh-CN"/>
              </w:rPr>
              <w:t>压路机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25T及以上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hAnsi="宋体"/>
                <w:b w:val="0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8m³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2、本表中的总数量为承包人中标后向发包人承诺的投入最低设备要求，并以书面形式纳入合同附件。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年1月1日至今）。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1" w:firstLineChars="1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自有设备需提供购买发票或公证机关出具的公证书。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5、若投标人提供的机械设备功率、规格大于招标人要求的，视作满足基本条件及加分条件。</w:t>
      </w: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E9A93"/>
    <w:multiLevelType w:val="singleLevel"/>
    <w:tmpl w:val="666E9A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jIyZmEyOTc4MjQ3MGNkYzk5M2U4ODdkMDcyZjQifQ=="/>
  </w:docVars>
  <w:rsids>
    <w:rsidRoot w:val="68C52E52"/>
    <w:rsid w:val="68C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/>
      <w:b/>
      <w:kern w:val="44"/>
      <w:sz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13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2022-12-19T01:29:00Z</dcterms:created>
  <dc:creator>APOLOGY</dc:creator>
  <cp:lastModifiedBy>APOLOGY</cp:lastModifiedBy>
  <dcterms:modified xsi:type="dcterms:W3CDTF">2022-12-19T01:58:07Z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B7B08353A6684803B906DD70CC285FBD</vt:lpwstr>
  </property>
</Properties>
</file>