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hint="eastAsia" w:ascii="宋体" w:hAnsi="宋体" w:eastAsia="宋体" w:cs="宋体"/>
          <w:sz w:val="24"/>
          <w:szCs w:val="24"/>
        </w:rPr>
      </w:pPr>
      <w:r>
        <w:rPr>
          <w:rFonts w:hint="eastAsia" w:ascii="宋体" w:hAnsi="宋体" w:eastAsia="宋体" w:cs="宋体"/>
          <w:b/>
          <w:color w:val="auto"/>
          <w:sz w:val="28"/>
          <w:szCs w:val="28"/>
          <w:highlight w:val="none"/>
          <w:lang w:val="en-US" w:eastAsia="zh-CN"/>
        </w:rPr>
        <w:t>附表一</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lang w:val="en-US" w:eastAsia="zh-CN"/>
        </w:rPr>
        <w:t>交建集团</w:t>
      </w:r>
      <w:r>
        <w:rPr>
          <w:rFonts w:hint="eastAsia" w:ascii="宋体" w:hAnsi="宋体" w:eastAsia="宋体" w:cs="宋体"/>
          <w:b/>
          <w:color w:val="auto"/>
          <w:sz w:val="28"/>
          <w:szCs w:val="28"/>
          <w:highlight w:val="none"/>
        </w:rPr>
        <w:t>沥青路面控制标准</w:t>
      </w:r>
    </w:p>
    <w:tbl>
      <w:tblPr>
        <w:tblStyle w:val="6"/>
        <w:tblW w:w="9355" w:type="dxa"/>
        <w:jc w:val="center"/>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1576"/>
        <w:gridCol w:w="3225"/>
        <w:gridCol w:w="4554"/>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tcBorders>
              <w:bottom w:val="single" w:color="000000" w:sz="4" w:space="0"/>
              <w:right w:val="single" w:color="000000" w:sz="4" w:space="0"/>
            </w:tcBorders>
            <w:vAlign w:val="center"/>
          </w:tcPr>
          <w:p>
            <w:pPr>
              <w:pStyle w:val="9"/>
              <w:spacing w:before="97"/>
              <w:jc w:val="center"/>
              <w:rPr>
                <w:rFonts w:hint="eastAsia" w:ascii="宋体" w:hAnsi="宋体" w:eastAsia="宋体" w:cs="宋体"/>
                <w:sz w:val="21"/>
                <w:szCs w:val="22"/>
              </w:rPr>
            </w:pPr>
            <w:r>
              <w:rPr>
                <w:rFonts w:hint="eastAsia" w:ascii="宋体" w:hAnsi="宋体" w:eastAsia="宋体" w:cs="宋体"/>
                <w:sz w:val="21"/>
                <w:szCs w:val="22"/>
              </w:rPr>
              <w:t>项目</w:t>
            </w:r>
          </w:p>
        </w:tc>
        <w:tc>
          <w:tcPr>
            <w:tcW w:w="7779" w:type="dxa"/>
            <w:gridSpan w:val="2"/>
            <w:tcBorders>
              <w:left w:val="single" w:color="000000" w:sz="4" w:space="0"/>
              <w:bottom w:val="single" w:color="000000" w:sz="4" w:space="0"/>
            </w:tcBorders>
            <w:vAlign w:val="center"/>
          </w:tcPr>
          <w:p>
            <w:pPr>
              <w:pStyle w:val="9"/>
              <w:spacing w:before="97"/>
              <w:ind w:left="2847" w:right="2737"/>
              <w:jc w:val="center"/>
              <w:rPr>
                <w:rFonts w:hint="eastAsia" w:ascii="宋体" w:hAnsi="宋体" w:eastAsia="宋体" w:cs="宋体"/>
                <w:b/>
                <w:sz w:val="21"/>
                <w:szCs w:val="22"/>
              </w:rPr>
            </w:pPr>
            <w:r>
              <w:rPr>
                <w:rFonts w:hint="eastAsia" w:ascii="宋体" w:hAnsi="宋体" w:eastAsia="宋体" w:cs="宋体"/>
                <w:b/>
                <w:sz w:val="21"/>
                <w:szCs w:val="22"/>
              </w:rPr>
              <w:t>路面工程过程控制要求</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restart"/>
            <w:tcBorders>
              <w:top w:val="single" w:color="000000" w:sz="4" w:space="0"/>
              <w:bottom w:val="single" w:color="000000" w:sz="4" w:space="0"/>
              <w:right w:val="single" w:color="000000" w:sz="4" w:space="0"/>
            </w:tcBorders>
            <w:vAlign w:val="center"/>
          </w:tcPr>
          <w:p>
            <w:pPr>
              <w:pStyle w:val="9"/>
              <w:ind w:right="-44"/>
              <w:jc w:val="center"/>
              <w:rPr>
                <w:rFonts w:hint="eastAsia" w:ascii="宋体" w:hAnsi="宋体" w:eastAsia="宋体" w:cs="宋体"/>
                <w:sz w:val="21"/>
                <w:szCs w:val="22"/>
              </w:rPr>
            </w:pPr>
            <w:r>
              <w:rPr>
                <w:rFonts w:hint="eastAsia" w:ascii="宋体" w:hAnsi="宋体" w:eastAsia="宋体" w:cs="宋体"/>
                <w:sz w:val="21"/>
                <w:szCs w:val="22"/>
              </w:rPr>
              <w:t>压实度控制</w:t>
            </w: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中、下面层压实度控制标准（双控）及均匀性评价</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理论密度：≥92%；压实度合格率≥95%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理论密度：92%～95%的抽检点≥80%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pStyle w:val="9"/>
              <w:spacing w:before="3" w:line="400" w:lineRule="atLeast"/>
              <w:ind w:left="583" w:right="38" w:hanging="516"/>
              <w:jc w:val="center"/>
              <w:rPr>
                <w:rFonts w:hint="eastAsia" w:ascii="宋体" w:hAnsi="宋体" w:eastAsia="宋体" w:cs="宋体"/>
                <w:sz w:val="21"/>
                <w:szCs w:val="22"/>
              </w:rPr>
            </w:pPr>
            <w:r>
              <w:rPr>
                <w:rFonts w:hint="eastAsia" w:ascii="宋体" w:hAnsi="宋体" w:eastAsia="宋体" w:cs="宋体"/>
                <w:sz w:val="21"/>
                <w:szCs w:val="22"/>
              </w:rPr>
              <w:t>SMA</w:t>
            </w:r>
            <w:r>
              <w:rPr>
                <w:rFonts w:hint="eastAsia" w:ascii="宋体" w:hAnsi="宋体" w:eastAsia="宋体" w:cs="宋体"/>
                <w:spacing w:val="-7"/>
                <w:sz w:val="21"/>
                <w:szCs w:val="22"/>
              </w:rPr>
              <w:t xml:space="preserve"> 上面层压实度控制标准</w:t>
            </w:r>
            <w:r>
              <w:rPr>
                <w:rFonts w:hint="eastAsia" w:ascii="宋体" w:hAnsi="宋体" w:eastAsia="宋体" w:cs="宋体"/>
                <w:spacing w:val="-3"/>
                <w:sz w:val="21"/>
                <w:szCs w:val="22"/>
              </w:rPr>
              <w:t>（</w:t>
            </w:r>
            <w:r>
              <w:rPr>
                <w:rFonts w:hint="eastAsia" w:ascii="宋体" w:hAnsi="宋体" w:eastAsia="宋体" w:cs="宋体"/>
                <w:spacing w:val="-15"/>
                <w:sz w:val="21"/>
                <w:szCs w:val="22"/>
              </w:rPr>
              <w:t>双</w:t>
            </w:r>
            <w:r>
              <w:rPr>
                <w:rFonts w:hint="eastAsia" w:ascii="宋体" w:hAnsi="宋体" w:eastAsia="宋体" w:cs="宋体"/>
                <w:sz w:val="21"/>
                <w:szCs w:val="22"/>
              </w:rPr>
              <w:t>控）及均匀性评价</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理论密度：≥94%；压实度合格率≥95%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理论密度：94%～96%的抽检点≥80%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restart"/>
            <w:tcBorders>
              <w:top w:val="single" w:color="000000" w:sz="4" w:space="0"/>
              <w:bottom w:val="single" w:color="000000" w:sz="4" w:space="0"/>
              <w:right w:val="single" w:color="000000" w:sz="4" w:space="0"/>
            </w:tcBorders>
            <w:vAlign w:val="center"/>
          </w:tcPr>
          <w:p>
            <w:pPr>
              <w:pStyle w:val="9"/>
              <w:ind w:right="-44"/>
              <w:jc w:val="center"/>
              <w:rPr>
                <w:rFonts w:hint="eastAsia" w:ascii="宋体" w:hAnsi="宋体" w:eastAsia="宋体" w:cs="宋体"/>
                <w:sz w:val="21"/>
                <w:szCs w:val="22"/>
              </w:rPr>
            </w:pPr>
            <w:r>
              <w:rPr>
                <w:rFonts w:hint="eastAsia" w:ascii="宋体" w:hAnsi="宋体" w:eastAsia="宋体" w:cs="宋体"/>
                <w:sz w:val="21"/>
                <w:szCs w:val="22"/>
              </w:rPr>
              <w:t>平整度控制</w:t>
            </w:r>
          </w:p>
        </w:tc>
        <w:tc>
          <w:tcPr>
            <w:tcW w:w="3225" w:type="dxa"/>
            <w:tcBorders>
              <w:top w:val="single" w:color="000000" w:sz="4" w:space="0"/>
              <w:left w:val="single" w:color="000000" w:sz="4" w:space="0"/>
              <w:bottom w:val="single" w:color="000000" w:sz="4" w:space="0"/>
              <w:right w:val="single" w:color="000000" w:sz="4" w:space="0"/>
            </w:tcBorders>
            <w:vAlign w:val="center"/>
          </w:tcPr>
          <w:p>
            <w:pPr>
              <w:pStyle w:val="9"/>
              <w:spacing w:before="110"/>
              <w:ind w:left="24"/>
              <w:jc w:val="center"/>
              <w:rPr>
                <w:rFonts w:hint="eastAsia" w:ascii="宋体" w:hAnsi="宋体" w:eastAsia="宋体" w:cs="宋体"/>
                <w:sz w:val="21"/>
                <w:szCs w:val="22"/>
              </w:rPr>
            </w:pPr>
            <w:r>
              <w:rPr>
                <w:rFonts w:hint="eastAsia" w:ascii="宋体" w:hAnsi="宋体" w:eastAsia="宋体" w:cs="宋体"/>
                <w:sz w:val="21"/>
                <w:szCs w:val="22"/>
              </w:rPr>
              <w:t>下面层平整度控制及均匀性评价</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下面层（路基段） σ≤1.0；合格率≥90%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pStyle w:val="9"/>
              <w:spacing w:before="136"/>
              <w:ind w:left="43"/>
              <w:jc w:val="center"/>
              <w:rPr>
                <w:rFonts w:hint="eastAsia" w:ascii="宋体" w:hAnsi="宋体" w:eastAsia="宋体" w:cs="宋体"/>
                <w:sz w:val="21"/>
                <w:szCs w:val="22"/>
              </w:rPr>
            </w:pPr>
            <w:r>
              <w:rPr>
                <w:rFonts w:hint="eastAsia" w:ascii="宋体" w:hAnsi="宋体" w:eastAsia="宋体" w:cs="宋体"/>
                <w:sz w:val="21"/>
                <w:szCs w:val="22"/>
              </w:rPr>
              <w:t>中面层平整度控制及均匀性评价</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中面层（路基段） σ≤0.7 ； 合格率≥92%</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中面层（桥隧段） σ≤0.8； 合格率≥90%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pStyle w:val="9"/>
              <w:ind w:left="43"/>
              <w:jc w:val="center"/>
              <w:rPr>
                <w:rFonts w:hint="eastAsia" w:ascii="宋体" w:hAnsi="宋体" w:eastAsia="宋体" w:cs="宋体"/>
                <w:sz w:val="21"/>
                <w:szCs w:val="22"/>
              </w:rPr>
            </w:pPr>
            <w:r>
              <w:rPr>
                <w:rFonts w:hint="eastAsia" w:ascii="宋体" w:hAnsi="宋体" w:eastAsia="宋体" w:cs="宋体"/>
                <w:sz w:val="21"/>
                <w:szCs w:val="22"/>
              </w:rPr>
              <w:t>上面层平整度控制及均匀性评价</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主线（路基段） σ≤0.5 ；合格率≥95%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主线（桥隧段） σ≤0.55； 合格率≥95%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restart"/>
            <w:tcBorders>
              <w:top w:val="single" w:color="000000" w:sz="4" w:space="0"/>
              <w:bottom w:val="single" w:color="000000" w:sz="4" w:space="0"/>
              <w:right w:val="single" w:color="000000" w:sz="4" w:space="0"/>
            </w:tcBorders>
            <w:vAlign w:val="center"/>
          </w:tcPr>
          <w:p>
            <w:pPr>
              <w:pStyle w:val="9"/>
              <w:ind w:right="-15"/>
              <w:jc w:val="center"/>
              <w:rPr>
                <w:rFonts w:hint="eastAsia" w:ascii="宋体" w:hAnsi="宋体" w:eastAsia="宋体" w:cs="宋体"/>
                <w:sz w:val="21"/>
                <w:szCs w:val="22"/>
              </w:rPr>
            </w:pPr>
            <w:r>
              <w:rPr>
                <w:rFonts w:hint="eastAsia" w:ascii="宋体" w:hAnsi="宋体" w:eastAsia="宋体" w:cs="宋体"/>
                <w:spacing w:val="-2"/>
                <w:sz w:val="21"/>
                <w:szCs w:val="22"/>
              </w:rPr>
              <w:t>厚度控制</w:t>
            </w: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pStyle w:val="9"/>
              <w:ind w:left="494"/>
              <w:jc w:val="center"/>
              <w:rPr>
                <w:rFonts w:hint="eastAsia" w:ascii="宋体" w:hAnsi="宋体" w:eastAsia="宋体" w:cs="宋体"/>
                <w:sz w:val="21"/>
                <w:szCs w:val="22"/>
              </w:rPr>
            </w:pPr>
            <w:r>
              <w:rPr>
                <w:rFonts w:hint="eastAsia" w:ascii="宋体" w:hAnsi="宋体" w:eastAsia="宋体" w:cs="宋体"/>
                <w:sz w:val="21"/>
                <w:szCs w:val="22"/>
              </w:rPr>
              <w:t>下面层厚度及均匀性</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单点厚度要求：设计值-5%～8% ； 合格率≥90%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总量检验厚度平均值允许范围：-4mm</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pStyle w:val="9"/>
              <w:ind w:left="494"/>
              <w:jc w:val="center"/>
              <w:rPr>
                <w:rFonts w:hint="eastAsia" w:ascii="宋体" w:hAnsi="宋体" w:eastAsia="宋体" w:cs="宋体"/>
                <w:sz w:val="21"/>
                <w:szCs w:val="22"/>
              </w:rPr>
            </w:pPr>
            <w:r>
              <w:rPr>
                <w:rFonts w:hint="eastAsia" w:ascii="宋体" w:hAnsi="宋体" w:eastAsia="宋体" w:cs="宋体"/>
                <w:sz w:val="21"/>
                <w:szCs w:val="22"/>
              </w:rPr>
              <w:t>中面层厚度及均匀性</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单点厚度要求：设计值-5%～6%；合格率≥90%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总量检验厚度平均值允许范围：-4mm</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pStyle w:val="9"/>
              <w:ind w:left="494"/>
              <w:jc w:val="center"/>
              <w:rPr>
                <w:rFonts w:hint="eastAsia" w:ascii="宋体" w:hAnsi="宋体" w:eastAsia="宋体" w:cs="宋体"/>
                <w:sz w:val="21"/>
                <w:szCs w:val="22"/>
              </w:rPr>
            </w:pPr>
            <w:r>
              <w:rPr>
                <w:rFonts w:hint="eastAsia" w:ascii="宋体" w:hAnsi="宋体" w:eastAsia="宋体" w:cs="宋体"/>
                <w:sz w:val="21"/>
                <w:szCs w:val="22"/>
              </w:rPr>
              <w:t>上面层厚度及均匀性</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单点厚度要求：设计值-8%～5% ；合格率≥90%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总量检验厚度平均值允许范围：-2mm</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6"/>
                <w:szCs w:val="6"/>
              </w:rPr>
            </w:pPr>
          </w:p>
        </w:tc>
        <w:tc>
          <w:tcPr>
            <w:tcW w:w="3225" w:type="dxa"/>
            <w:tcBorders>
              <w:top w:val="single" w:color="000000" w:sz="4" w:space="0"/>
              <w:left w:val="single" w:color="000000" w:sz="4" w:space="0"/>
              <w:bottom w:val="single" w:color="000000" w:sz="4" w:space="0"/>
              <w:right w:val="single" w:color="000000" w:sz="4" w:space="0"/>
            </w:tcBorders>
            <w:vAlign w:val="center"/>
          </w:tcPr>
          <w:p>
            <w:pPr>
              <w:pStyle w:val="9"/>
              <w:spacing w:before="98"/>
              <w:ind w:left="117"/>
              <w:jc w:val="center"/>
              <w:rPr>
                <w:rFonts w:hint="eastAsia" w:ascii="宋体" w:hAnsi="宋体" w:eastAsia="宋体" w:cs="宋体"/>
                <w:sz w:val="21"/>
                <w:szCs w:val="22"/>
              </w:rPr>
            </w:pPr>
            <w:r>
              <w:rPr>
                <w:rFonts w:hint="eastAsia" w:ascii="宋体" w:hAnsi="宋体" w:eastAsia="宋体" w:cs="宋体"/>
                <w:sz w:val="21"/>
                <w:szCs w:val="22"/>
              </w:rPr>
              <w:t>总厚度</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设计值-4% ；合格率≥95%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restart"/>
            <w:tcBorders>
              <w:top w:val="single" w:color="000000" w:sz="4" w:space="0"/>
              <w:right w:val="single" w:color="000000" w:sz="4" w:space="0"/>
            </w:tcBorders>
            <w:vAlign w:val="center"/>
          </w:tcPr>
          <w:p>
            <w:pPr>
              <w:pStyle w:val="9"/>
              <w:ind w:right="-58"/>
              <w:jc w:val="center"/>
              <w:rPr>
                <w:rFonts w:hint="eastAsia" w:ascii="宋体" w:hAnsi="宋体" w:eastAsia="宋体" w:cs="宋体"/>
                <w:sz w:val="21"/>
                <w:szCs w:val="22"/>
              </w:rPr>
            </w:pPr>
            <w:r>
              <w:rPr>
                <w:rFonts w:hint="eastAsia" w:ascii="宋体" w:hAnsi="宋体" w:eastAsia="宋体" w:cs="宋体"/>
                <w:sz w:val="21"/>
                <w:szCs w:val="22"/>
              </w:rPr>
              <w:t>渗水系数控制</w:t>
            </w:r>
          </w:p>
        </w:tc>
        <w:tc>
          <w:tcPr>
            <w:tcW w:w="3225" w:type="dxa"/>
            <w:tcBorders>
              <w:top w:val="single" w:color="000000" w:sz="4" w:space="0"/>
              <w:left w:val="single" w:color="000000" w:sz="4" w:space="0"/>
              <w:bottom w:val="single" w:color="000000" w:sz="4" w:space="0"/>
              <w:right w:val="single" w:color="000000" w:sz="4" w:space="0"/>
            </w:tcBorders>
            <w:vAlign w:val="center"/>
          </w:tcPr>
          <w:p>
            <w:pPr>
              <w:pStyle w:val="9"/>
              <w:spacing w:before="96"/>
              <w:ind w:left="117"/>
              <w:jc w:val="center"/>
              <w:rPr>
                <w:rFonts w:hint="eastAsia" w:ascii="宋体" w:hAnsi="宋体" w:eastAsia="宋体" w:cs="宋体"/>
                <w:sz w:val="21"/>
                <w:szCs w:val="22"/>
              </w:rPr>
            </w:pPr>
            <w:r>
              <w:rPr>
                <w:rFonts w:hint="eastAsia" w:ascii="宋体" w:hAnsi="宋体" w:eastAsia="宋体" w:cs="宋体"/>
                <w:sz w:val="21"/>
                <w:szCs w:val="22"/>
              </w:rPr>
              <w:t>下面层</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若公称粒径不大于 19mm，按照中面层要求控制</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right w:val="single" w:color="000000" w:sz="4" w:space="0"/>
            </w:tcBorders>
            <w:vAlign w:val="center"/>
          </w:tcPr>
          <w:p>
            <w:pPr>
              <w:jc w:val="center"/>
              <w:rPr>
                <w:rFonts w:hint="eastAsia" w:ascii="宋体" w:hAnsi="宋体" w:eastAsia="宋体" w:cs="宋体"/>
                <w:sz w:val="6"/>
                <w:szCs w:val="6"/>
              </w:rPr>
            </w:pPr>
          </w:p>
        </w:tc>
        <w:tc>
          <w:tcPr>
            <w:tcW w:w="3225" w:type="dxa"/>
            <w:tcBorders>
              <w:top w:val="single" w:color="000000" w:sz="4" w:space="0"/>
              <w:left w:val="single" w:color="000000" w:sz="4" w:space="0"/>
              <w:bottom w:val="single" w:color="000000" w:sz="4" w:space="0"/>
              <w:right w:val="single" w:color="000000" w:sz="4" w:space="0"/>
            </w:tcBorders>
            <w:vAlign w:val="center"/>
          </w:tcPr>
          <w:p>
            <w:pPr>
              <w:pStyle w:val="9"/>
              <w:spacing w:before="88"/>
              <w:ind w:left="117"/>
              <w:jc w:val="center"/>
              <w:rPr>
                <w:rFonts w:hint="eastAsia" w:ascii="宋体" w:hAnsi="宋体" w:eastAsia="宋体" w:cs="宋体"/>
                <w:sz w:val="21"/>
                <w:szCs w:val="22"/>
              </w:rPr>
            </w:pPr>
            <w:r>
              <w:rPr>
                <w:rFonts w:hint="eastAsia" w:ascii="宋体" w:hAnsi="宋体" w:eastAsia="宋体" w:cs="宋体"/>
                <w:sz w:val="21"/>
                <w:szCs w:val="22"/>
              </w:rPr>
              <w:t>中面层</w:t>
            </w:r>
          </w:p>
        </w:tc>
        <w:tc>
          <w:tcPr>
            <w:tcW w:w="4554" w:type="dxa"/>
            <w:tcBorders>
              <w:top w:val="single" w:color="000000" w:sz="4" w:space="0"/>
              <w:left w:val="single" w:color="000000" w:sz="4" w:space="0"/>
              <w:bottom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≯120mL/min，合格率≥92%</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576" w:type="dxa"/>
            <w:vMerge w:val="continue"/>
            <w:tcBorders>
              <w:top w:val="nil"/>
              <w:right w:val="single" w:color="000000" w:sz="4" w:space="0"/>
            </w:tcBorders>
            <w:vAlign w:val="center"/>
          </w:tcPr>
          <w:p>
            <w:pPr>
              <w:jc w:val="center"/>
              <w:rPr>
                <w:rFonts w:hint="eastAsia" w:ascii="宋体" w:hAnsi="宋体" w:eastAsia="宋体" w:cs="宋体"/>
                <w:sz w:val="6"/>
                <w:szCs w:val="6"/>
              </w:rPr>
            </w:pPr>
          </w:p>
        </w:tc>
        <w:tc>
          <w:tcPr>
            <w:tcW w:w="3225" w:type="dxa"/>
            <w:tcBorders>
              <w:top w:val="single" w:color="000000" w:sz="4" w:space="0"/>
              <w:left w:val="single" w:color="000000" w:sz="4" w:space="0"/>
              <w:right w:val="single" w:color="000000" w:sz="4" w:space="0"/>
            </w:tcBorders>
            <w:vAlign w:val="center"/>
          </w:tcPr>
          <w:p>
            <w:pPr>
              <w:pStyle w:val="9"/>
              <w:spacing w:before="88"/>
              <w:ind w:left="114"/>
              <w:jc w:val="center"/>
              <w:rPr>
                <w:rFonts w:hint="eastAsia" w:ascii="宋体" w:hAnsi="宋体" w:eastAsia="宋体" w:cs="宋体"/>
                <w:sz w:val="21"/>
                <w:szCs w:val="22"/>
              </w:rPr>
            </w:pPr>
            <w:r>
              <w:rPr>
                <w:rFonts w:hint="eastAsia" w:ascii="宋体" w:hAnsi="宋体" w:eastAsia="宋体" w:cs="宋体"/>
                <w:sz w:val="21"/>
                <w:szCs w:val="22"/>
              </w:rPr>
              <w:t>SMA 上面层</w:t>
            </w:r>
          </w:p>
        </w:tc>
        <w:tc>
          <w:tcPr>
            <w:tcW w:w="4554" w:type="dxa"/>
            <w:tcBorders>
              <w:top w:val="single" w:color="000000" w:sz="4" w:space="0"/>
              <w:left w:val="single" w:color="000000" w:sz="4" w:space="0"/>
            </w:tcBorders>
            <w:vAlign w:val="center"/>
          </w:tcPr>
          <w:p>
            <w:pPr>
              <w:pStyle w:val="9"/>
              <w:spacing w:before="13" w:line="400" w:lineRule="exact"/>
              <w:ind w:left="583" w:right="16" w:hanging="540"/>
              <w:jc w:val="center"/>
              <w:rPr>
                <w:rFonts w:hint="eastAsia" w:ascii="宋体" w:hAnsi="宋体" w:eastAsia="宋体" w:cs="宋体"/>
                <w:sz w:val="21"/>
                <w:szCs w:val="22"/>
              </w:rPr>
            </w:pPr>
            <w:r>
              <w:rPr>
                <w:rFonts w:hint="eastAsia" w:ascii="宋体" w:hAnsi="宋体" w:eastAsia="宋体" w:cs="宋体"/>
                <w:sz w:val="21"/>
                <w:szCs w:val="22"/>
              </w:rPr>
              <w:t>≯80mL/min，合格率≥92%</w:t>
            </w:r>
          </w:p>
        </w:tc>
      </w:tr>
    </w:tbl>
    <w:p>
      <w:pPr>
        <w:snapToGrid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pStyle w:val="3"/>
        <w:jc w:val="center"/>
        <w:rPr>
          <w:rFonts w:hint="eastAsia" w:ascii="宋体" w:hAnsi="宋体" w:eastAsia="宋体" w:cs="宋体"/>
          <w:color w:val="auto"/>
          <w:sz w:val="24"/>
          <w:szCs w:val="24"/>
          <w:highlight w:val="none"/>
        </w:rPr>
        <w:sectPr>
          <w:footerReference r:id="rId3" w:type="default"/>
          <w:pgSz w:w="11911" w:h="16838"/>
          <w:pgMar w:top="1599" w:right="1179" w:bottom="1298" w:left="1100" w:header="0" w:footer="567" w:gutter="0"/>
          <w:pgNumType w:start="1"/>
          <w:cols w:space="720" w:num="1"/>
          <w:docGrid w:linePitch="1" w:charSpace="0"/>
        </w:sectPr>
      </w:pPr>
    </w:p>
    <w:p>
      <w:pPr>
        <w:tabs>
          <w:tab w:val="left" w:pos="416"/>
        </w:tabs>
        <w:autoSpaceDE w:val="0"/>
        <w:autoSpaceDN w:val="0"/>
        <w:spacing w:before="122" w:line="360" w:lineRule="auto"/>
        <w:ind w:left="0" w:firstLine="562"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二</w:t>
      </w:r>
    </w:p>
    <w:p>
      <w:pPr>
        <w:pStyle w:val="2"/>
        <w:ind w:firstLine="241" w:firstLineChars="1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G5京昆高速公路绵阳至成都段扩容项目路面2标主体水稳、油面工程劳务合作项目工程段划分、工程范围、工期统计表</w:t>
      </w:r>
    </w:p>
    <w:p>
      <w:pPr>
        <w:rPr>
          <w:rFonts w:hint="eastAsia" w:ascii="宋体" w:hAnsi="宋体" w:eastAsia="宋体" w:cs="宋体"/>
          <w:color w:val="auto"/>
          <w:highlight w:val="none"/>
          <w:lang w:val="en-US" w:eastAsia="zh-CN"/>
        </w:rPr>
      </w:pPr>
    </w:p>
    <w:tbl>
      <w:tblPr>
        <w:tblStyle w:val="6"/>
        <w:tblpPr w:leftFromText="180" w:rightFromText="180" w:vertAnchor="text" w:horzAnchor="page" w:tblpX="1912" w:tblpY="163"/>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718"/>
        <w:gridCol w:w="2628"/>
        <w:gridCol w:w="1632"/>
        <w:gridCol w:w="3757"/>
        <w:gridCol w:w="1075"/>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1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分段名称</w:t>
            </w:r>
          </w:p>
        </w:tc>
        <w:tc>
          <w:tcPr>
            <w:tcW w:w="2628" w:type="dxa"/>
            <w:noWrap w:val="0"/>
            <w:vAlign w:val="center"/>
          </w:tcPr>
          <w:p>
            <w:pPr>
              <w:jc w:val="center"/>
              <w:rPr>
                <w:rFonts w:hint="eastAsia" w:ascii="宋体" w:hAnsi="宋体" w:eastAsia="宋体" w:cs="宋体"/>
                <w:color w:val="auto"/>
                <w:szCs w:val="21"/>
                <w:highlight w:val="none"/>
              </w:rPr>
            </w:pPr>
            <w:r>
              <w:rPr>
                <w:rFonts w:hint="eastAsia" w:ascii="宋体" w:hAnsi="宋体" w:cs="宋体"/>
                <w:kern w:val="0"/>
                <w:sz w:val="21"/>
                <w:szCs w:val="21"/>
                <w:highlight w:val="none"/>
                <w:lang w:val="en-US" w:eastAsia="zh-CN"/>
              </w:rPr>
              <w:t>里程段落</w:t>
            </w:r>
          </w:p>
        </w:tc>
        <w:tc>
          <w:tcPr>
            <w:tcW w:w="1632"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长度</w:t>
            </w:r>
          </w:p>
        </w:tc>
        <w:tc>
          <w:tcPr>
            <w:tcW w:w="375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工作内容</w:t>
            </w:r>
          </w:p>
        </w:tc>
        <w:tc>
          <w:tcPr>
            <w:tcW w:w="107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206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669"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718"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标段：水稳一队</w:t>
            </w:r>
          </w:p>
        </w:tc>
        <w:tc>
          <w:tcPr>
            <w:tcW w:w="262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K68+000-K80+400段</w:t>
            </w:r>
          </w:p>
        </w:tc>
        <w:tc>
          <w:tcPr>
            <w:tcW w:w="1632" w:type="dxa"/>
            <w:noWrap w:val="0"/>
            <w:vAlign w:val="center"/>
          </w:tcPr>
          <w:p>
            <w:pPr>
              <w:ind w:firstLine="420" w:firstLineChars="200"/>
              <w:jc w:val="left"/>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12.4km</w:t>
            </w:r>
          </w:p>
        </w:tc>
        <w:tc>
          <w:tcPr>
            <w:tcW w:w="3757"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K68+000-K80+400</w:t>
            </w:r>
            <w:r>
              <w:rPr>
                <w:rFonts w:hint="eastAsia" w:ascii="宋体" w:hAnsi="宋体" w:eastAsia="宋体" w:cs="宋体"/>
                <w:color w:val="auto"/>
                <w:kern w:val="0"/>
                <w:sz w:val="21"/>
                <w:szCs w:val="21"/>
                <w:highlight w:val="none"/>
                <w:lang w:val="en-US" w:eastAsia="zh-CN"/>
              </w:rPr>
              <w:t>段落级配碎石569676</w:t>
            </w:r>
            <w:r>
              <w:rPr>
                <w:rFonts w:hint="eastAsia" w:ascii="宋体" w:hAnsi="宋体" w:cs="宋体"/>
                <w:color w:val="auto"/>
                <w:kern w:val="0"/>
                <w:sz w:val="21"/>
                <w:szCs w:val="21"/>
                <w:highlight w:val="none"/>
                <w:lang w:val="en-US" w:eastAsia="zh-CN"/>
              </w:rPr>
              <w:t>m²</w:t>
            </w:r>
            <w:r>
              <w:rPr>
                <w:rFonts w:hint="eastAsia" w:ascii="宋体" w:hAnsi="宋体" w:eastAsia="宋体" w:cs="宋体"/>
                <w:color w:val="auto"/>
                <w:kern w:val="0"/>
                <w:sz w:val="21"/>
                <w:szCs w:val="21"/>
                <w:highlight w:val="none"/>
                <w:lang w:val="en-US" w:eastAsia="zh-CN"/>
              </w:rPr>
              <w:t>、水稳层1044964</w:t>
            </w:r>
            <w:r>
              <w:rPr>
                <w:rFonts w:hint="eastAsia" w:ascii="宋体" w:hAnsi="宋体" w:cs="宋体"/>
                <w:color w:val="auto"/>
                <w:kern w:val="0"/>
                <w:sz w:val="21"/>
                <w:szCs w:val="21"/>
                <w:highlight w:val="none"/>
                <w:lang w:val="en-US" w:eastAsia="zh-CN"/>
              </w:rPr>
              <w:t>m²</w:t>
            </w:r>
            <w:r>
              <w:rPr>
                <w:rFonts w:hint="eastAsia" w:ascii="宋体" w:hAnsi="宋体" w:eastAsia="宋体" w:cs="宋体"/>
                <w:color w:val="auto"/>
                <w:kern w:val="0"/>
                <w:sz w:val="21"/>
                <w:szCs w:val="21"/>
                <w:highlight w:val="none"/>
                <w:lang w:val="en-US" w:eastAsia="zh-CN"/>
              </w:rPr>
              <w:t>施工包含劳务、前后场设备、混合料加工、水稳层场地清理等作业。（除</w:t>
            </w:r>
            <w:r>
              <w:rPr>
                <w:rFonts w:hint="eastAsia" w:ascii="宋体" w:hAnsi="宋体" w:cs="宋体"/>
                <w:color w:val="auto"/>
                <w:kern w:val="0"/>
                <w:sz w:val="21"/>
                <w:szCs w:val="21"/>
                <w:highlight w:val="none"/>
                <w:lang w:val="en-US" w:eastAsia="zh-CN"/>
              </w:rPr>
              <w:t>运输及</w:t>
            </w:r>
            <w:r>
              <w:rPr>
                <w:rFonts w:hint="eastAsia" w:ascii="宋体" w:hAnsi="宋体" w:eastAsia="宋体" w:cs="宋体"/>
                <w:color w:val="auto"/>
                <w:kern w:val="0"/>
                <w:sz w:val="21"/>
                <w:szCs w:val="21"/>
                <w:highlight w:val="none"/>
                <w:lang w:val="en-US" w:eastAsia="zh-CN"/>
              </w:rPr>
              <w:t>甲供材料外所有</w:t>
            </w:r>
            <w:r>
              <w:rPr>
                <w:rFonts w:hint="eastAsia" w:ascii="宋体" w:hAnsi="宋体" w:cs="宋体"/>
                <w:color w:val="auto"/>
                <w:kern w:val="0"/>
                <w:sz w:val="21"/>
                <w:szCs w:val="21"/>
                <w:highlight w:val="none"/>
                <w:lang w:val="en-US" w:eastAsia="zh-CN"/>
              </w:rPr>
              <w:t>协作内容）</w:t>
            </w:r>
            <w:r>
              <w:rPr>
                <w:rFonts w:hint="eastAsia" w:ascii="宋体" w:hAnsi="宋体" w:eastAsia="宋体" w:cs="宋体"/>
                <w:color w:val="auto"/>
                <w:kern w:val="0"/>
                <w:sz w:val="21"/>
                <w:szCs w:val="21"/>
                <w:highlight w:val="none"/>
                <w:lang w:val="en-US" w:eastAsia="zh-CN"/>
              </w:rPr>
              <w:t>。</w:t>
            </w:r>
          </w:p>
        </w:tc>
        <w:tc>
          <w:tcPr>
            <w:tcW w:w="10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个月</w:t>
            </w:r>
          </w:p>
        </w:tc>
        <w:tc>
          <w:tcPr>
            <w:tcW w:w="2065" w:type="dxa"/>
            <w:noWrap w:val="0"/>
            <w:vAlign w:val="center"/>
          </w:tcPr>
          <w:p>
            <w:pPr>
              <w:jc w:val="center"/>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开工日期</w:t>
            </w:r>
            <w:r>
              <w:rPr>
                <w:rFonts w:hint="eastAsia" w:ascii="宋体" w:hAnsi="宋体" w:eastAsia="宋体" w:cs="宋体"/>
                <w:color w:val="auto"/>
                <w:sz w:val="21"/>
                <w:szCs w:val="21"/>
                <w:highlight w:val="none"/>
              </w:rPr>
              <w:t>以招标人要求为准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669"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718" w:type="dxa"/>
            <w:noWrap w:val="0"/>
            <w:vAlign w:val="center"/>
          </w:tcPr>
          <w:p>
            <w:pPr>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4</w:t>
            </w:r>
            <w:r>
              <w:rPr>
                <w:rFonts w:hint="eastAsia" w:ascii="宋体" w:hAnsi="宋体" w:eastAsia="宋体" w:cs="宋体"/>
                <w:b w:val="0"/>
                <w:bCs w:val="0"/>
                <w:color w:val="auto"/>
                <w:sz w:val="21"/>
                <w:szCs w:val="21"/>
                <w:highlight w:val="none"/>
                <w:u w:val="none"/>
                <w:lang w:val="en-US" w:eastAsia="zh-CN"/>
              </w:rPr>
              <w:t>标段：水稳二队</w:t>
            </w:r>
          </w:p>
        </w:tc>
        <w:tc>
          <w:tcPr>
            <w:tcW w:w="2628" w:type="dxa"/>
            <w:noWrap w:val="0"/>
            <w:vAlign w:val="center"/>
          </w:tcPr>
          <w:p>
            <w:pPr>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K80+400-K94+419段</w:t>
            </w:r>
          </w:p>
        </w:tc>
        <w:tc>
          <w:tcPr>
            <w:tcW w:w="1632" w:type="dxa"/>
            <w:noWrap w:val="0"/>
            <w:vAlign w:val="center"/>
          </w:tcPr>
          <w:p>
            <w:pPr>
              <w:ind w:firstLine="420" w:firstLineChars="200"/>
              <w:jc w:val="left"/>
              <w:rPr>
                <w:rFonts w:hint="default" w:ascii="宋体" w:hAnsi="宋体" w:eastAsia="宋体" w:cs="宋体"/>
                <w:b w:val="0"/>
                <w:bCs w:val="0"/>
                <w:color w:val="auto"/>
                <w:sz w:val="21"/>
                <w:szCs w:val="21"/>
                <w:highlight w:val="none"/>
                <w:u w:val="none"/>
                <w:lang w:val="en-US" w:eastAsia="zh-CN"/>
              </w:rPr>
            </w:pPr>
            <w:r>
              <w:rPr>
                <w:rFonts w:hint="eastAsia" w:ascii="宋体" w:hAnsi="宋体" w:cs="宋体"/>
                <w:color w:val="auto"/>
                <w:sz w:val="21"/>
                <w:szCs w:val="21"/>
                <w:highlight w:val="none"/>
                <w:lang w:val="en-US" w:eastAsia="zh-CN"/>
              </w:rPr>
              <w:t>14.019km</w:t>
            </w:r>
          </w:p>
        </w:tc>
        <w:tc>
          <w:tcPr>
            <w:tcW w:w="3757"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K</w:t>
            </w:r>
            <w:r>
              <w:rPr>
                <w:rFonts w:hint="eastAsia" w:ascii="宋体" w:hAnsi="宋体" w:eastAsia="宋体" w:cs="宋体"/>
                <w:b w:val="0"/>
                <w:bCs w:val="0"/>
                <w:color w:val="auto"/>
                <w:sz w:val="21"/>
                <w:szCs w:val="21"/>
                <w:highlight w:val="none"/>
                <w:u w:val="none"/>
                <w:lang w:val="en-US" w:eastAsia="zh-CN"/>
              </w:rPr>
              <w:t>80+400-K94+419</w:t>
            </w:r>
            <w:r>
              <w:rPr>
                <w:rFonts w:hint="eastAsia" w:ascii="宋体" w:hAnsi="宋体" w:eastAsia="宋体" w:cs="宋体"/>
                <w:color w:val="auto"/>
                <w:kern w:val="0"/>
                <w:sz w:val="21"/>
                <w:szCs w:val="21"/>
                <w:highlight w:val="none"/>
                <w:lang w:val="en-US" w:eastAsia="zh-CN"/>
              </w:rPr>
              <w:t>段落级配碎石630589</w:t>
            </w:r>
            <w:r>
              <w:rPr>
                <w:rFonts w:hint="eastAsia" w:ascii="宋体" w:hAnsi="宋体" w:cs="宋体"/>
                <w:color w:val="auto"/>
                <w:kern w:val="0"/>
                <w:sz w:val="21"/>
                <w:szCs w:val="21"/>
                <w:highlight w:val="none"/>
                <w:lang w:val="en-US" w:eastAsia="zh-CN"/>
              </w:rPr>
              <w:t>m²</w:t>
            </w:r>
            <w:r>
              <w:rPr>
                <w:rFonts w:hint="eastAsia" w:ascii="宋体" w:hAnsi="宋体" w:eastAsia="宋体" w:cs="宋体"/>
                <w:color w:val="auto"/>
                <w:kern w:val="0"/>
                <w:sz w:val="21"/>
                <w:szCs w:val="21"/>
                <w:highlight w:val="none"/>
                <w:lang w:val="en-US" w:eastAsia="zh-CN"/>
              </w:rPr>
              <w:t>、水稳层1150125</w:t>
            </w:r>
            <w:r>
              <w:rPr>
                <w:rFonts w:hint="eastAsia" w:ascii="宋体" w:hAnsi="宋体" w:cs="宋体"/>
                <w:color w:val="auto"/>
                <w:kern w:val="0"/>
                <w:sz w:val="21"/>
                <w:szCs w:val="21"/>
                <w:highlight w:val="none"/>
                <w:lang w:val="en-US" w:eastAsia="zh-CN"/>
              </w:rPr>
              <w:t>m²</w:t>
            </w:r>
            <w:r>
              <w:rPr>
                <w:rFonts w:hint="eastAsia" w:ascii="宋体" w:hAnsi="宋体" w:eastAsia="宋体" w:cs="宋体"/>
                <w:color w:val="auto"/>
                <w:kern w:val="0"/>
                <w:sz w:val="21"/>
                <w:szCs w:val="21"/>
                <w:highlight w:val="none"/>
                <w:lang w:val="en-US" w:eastAsia="zh-CN"/>
              </w:rPr>
              <w:t>施工包含劳务、前后场设备、混合料加工、水稳层场地清理等作业。（除</w:t>
            </w:r>
            <w:r>
              <w:rPr>
                <w:rFonts w:hint="eastAsia" w:ascii="宋体" w:hAnsi="宋体" w:cs="宋体"/>
                <w:color w:val="auto"/>
                <w:kern w:val="0"/>
                <w:sz w:val="21"/>
                <w:szCs w:val="21"/>
                <w:highlight w:val="none"/>
                <w:lang w:val="en-US" w:eastAsia="zh-CN"/>
              </w:rPr>
              <w:t>运输及</w:t>
            </w:r>
            <w:r>
              <w:rPr>
                <w:rFonts w:hint="eastAsia" w:ascii="宋体" w:hAnsi="宋体" w:eastAsia="宋体" w:cs="宋体"/>
                <w:color w:val="auto"/>
                <w:kern w:val="0"/>
                <w:sz w:val="21"/>
                <w:szCs w:val="21"/>
                <w:highlight w:val="none"/>
                <w:lang w:val="en-US" w:eastAsia="zh-CN"/>
              </w:rPr>
              <w:t>甲供材料外所有</w:t>
            </w:r>
            <w:r>
              <w:rPr>
                <w:rFonts w:hint="eastAsia" w:ascii="宋体" w:hAnsi="宋体" w:cs="宋体"/>
                <w:color w:val="auto"/>
                <w:kern w:val="0"/>
                <w:sz w:val="21"/>
                <w:szCs w:val="21"/>
                <w:highlight w:val="none"/>
                <w:lang w:val="en-US" w:eastAsia="zh-CN"/>
              </w:rPr>
              <w:t>协作内容）</w:t>
            </w:r>
            <w:r>
              <w:rPr>
                <w:rFonts w:hint="eastAsia" w:ascii="宋体" w:hAnsi="宋体" w:eastAsia="宋体" w:cs="宋体"/>
                <w:color w:val="auto"/>
                <w:kern w:val="0"/>
                <w:sz w:val="21"/>
                <w:szCs w:val="21"/>
                <w:highlight w:val="none"/>
                <w:lang w:val="en-US" w:eastAsia="zh-CN"/>
              </w:rPr>
              <w:t>。</w:t>
            </w:r>
          </w:p>
        </w:tc>
        <w:tc>
          <w:tcPr>
            <w:tcW w:w="1075"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个月</w:t>
            </w:r>
          </w:p>
        </w:tc>
        <w:tc>
          <w:tcPr>
            <w:tcW w:w="2065"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开工日期</w:t>
            </w:r>
            <w:r>
              <w:rPr>
                <w:rFonts w:hint="eastAsia" w:ascii="宋体" w:hAnsi="宋体" w:eastAsia="宋体" w:cs="宋体"/>
                <w:color w:val="auto"/>
                <w:sz w:val="21"/>
                <w:szCs w:val="21"/>
                <w:highlight w:val="none"/>
              </w:rPr>
              <w:t>以招标人要求为准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9" w:hRule="atLeast"/>
        </w:trPr>
        <w:tc>
          <w:tcPr>
            <w:tcW w:w="669"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718" w:type="dxa"/>
            <w:noWrap w:val="0"/>
            <w:vAlign w:val="center"/>
          </w:tcPr>
          <w:p>
            <w:pPr>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u w:val="none"/>
                <w:lang w:val="en-US" w:eastAsia="zh-CN"/>
              </w:rPr>
              <w:t>标段：油面队伍</w:t>
            </w:r>
          </w:p>
        </w:tc>
        <w:tc>
          <w:tcPr>
            <w:tcW w:w="2628" w:type="dxa"/>
            <w:noWrap w:val="0"/>
            <w:vAlign w:val="center"/>
          </w:tcPr>
          <w:p>
            <w:pPr>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K68+000-K94+419段</w:t>
            </w:r>
          </w:p>
        </w:tc>
        <w:tc>
          <w:tcPr>
            <w:tcW w:w="1632" w:type="dxa"/>
            <w:noWrap w:val="0"/>
            <w:vAlign w:val="center"/>
          </w:tcPr>
          <w:p>
            <w:pPr>
              <w:ind w:firstLine="420" w:firstLineChars="200"/>
              <w:jc w:val="left"/>
              <w:rPr>
                <w:rFonts w:hint="default" w:ascii="宋体" w:hAnsi="宋体" w:eastAsia="宋体" w:cs="宋体"/>
                <w:b w:val="0"/>
                <w:bCs w:val="0"/>
                <w:color w:val="auto"/>
                <w:sz w:val="21"/>
                <w:szCs w:val="21"/>
                <w:highlight w:val="none"/>
                <w:u w:val="none"/>
                <w:lang w:val="en-US" w:eastAsia="zh-CN"/>
              </w:rPr>
            </w:pPr>
            <w:r>
              <w:rPr>
                <w:rFonts w:hint="eastAsia" w:ascii="宋体" w:hAnsi="宋体" w:cs="宋体"/>
                <w:color w:val="auto"/>
                <w:sz w:val="21"/>
                <w:szCs w:val="21"/>
                <w:highlight w:val="none"/>
                <w:lang w:val="en-US" w:eastAsia="zh-CN"/>
              </w:rPr>
              <w:t>26.419km</w:t>
            </w:r>
          </w:p>
        </w:tc>
        <w:tc>
          <w:tcPr>
            <w:tcW w:w="3757"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K</w:t>
            </w:r>
            <w:r>
              <w:rPr>
                <w:rFonts w:hint="eastAsia" w:ascii="宋体" w:hAnsi="宋体" w:eastAsia="宋体" w:cs="宋体"/>
                <w:b w:val="0"/>
                <w:bCs w:val="0"/>
                <w:color w:val="auto"/>
                <w:sz w:val="21"/>
                <w:szCs w:val="21"/>
                <w:highlight w:val="none"/>
                <w:u w:val="none"/>
                <w:lang w:val="en-US" w:eastAsia="zh-CN"/>
              </w:rPr>
              <w:t>68+000-K94+419</w:t>
            </w:r>
            <w:r>
              <w:rPr>
                <w:rFonts w:hint="eastAsia" w:ascii="宋体" w:hAnsi="宋体" w:eastAsia="宋体" w:cs="宋体"/>
                <w:color w:val="auto"/>
                <w:kern w:val="0"/>
                <w:sz w:val="21"/>
                <w:szCs w:val="21"/>
                <w:highlight w:val="none"/>
                <w:lang w:val="en-US" w:eastAsia="zh-CN"/>
              </w:rPr>
              <w:t>全线的沥青路面3267446</w:t>
            </w:r>
            <w:r>
              <w:rPr>
                <w:rFonts w:hint="eastAsia" w:ascii="宋体" w:hAnsi="宋体" w:cs="宋体"/>
                <w:color w:val="auto"/>
                <w:kern w:val="0"/>
                <w:sz w:val="21"/>
                <w:szCs w:val="21"/>
                <w:highlight w:val="none"/>
                <w:lang w:val="en-US" w:eastAsia="zh-CN"/>
              </w:rPr>
              <w:t>m²</w:t>
            </w:r>
            <w:r>
              <w:rPr>
                <w:rFonts w:hint="eastAsia" w:ascii="宋体" w:hAnsi="宋体" w:eastAsia="宋体" w:cs="宋体"/>
                <w:color w:val="auto"/>
                <w:kern w:val="0"/>
                <w:sz w:val="21"/>
                <w:szCs w:val="21"/>
                <w:highlight w:val="none"/>
                <w:lang w:val="en-US" w:eastAsia="zh-CN"/>
              </w:rPr>
              <w:t>劳务、前场设备、油面场地清理等作业。（除</w:t>
            </w:r>
            <w:r>
              <w:rPr>
                <w:rFonts w:hint="eastAsia" w:ascii="宋体" w:hAnsi="宋体" w:cs="宋体"/>
                <w:color w:val="auto"/>
                <w:kern w:val="0"/>
                <w:sz w:val="21"/>
                <w:szCs w:val="21"/>
                <w:highlight w:val="none"/>
                <w:lang w:val="en-US" w:eastAsia="zh-CN"/>
              </w:rPr>
              <w:t>混合料拌合、运输及</w:t>
            </w:r>
            <w:r>
              <w:rPr>
                <w:rFonts w:hint="eastAsia" w:ascii="宋体" w:hAnsi="宋体" w:eastAsia="宋体" w:cs="宋体"/>
                <w:color w:val="auto"/>
                <w:kern w:val="0"/>
                <w:sz w:val="21"/>
                <w:szCs w:val="21"/>
                <w:highlight w:val="none"/>
                <w:lang w:val="en-US" w:eastAsia="zh-CN"/>
              </w:rPr>
              <w:t>甲供材料外所有</w:t>
            </w:r>
            <w:r>
              <w:rPr>
                <w:rFonts w:hint="eastAsia" w:ascii="宋体" w:hAnsi="宋体" w:cs="宋体"/>
                <w:color w:val="auto"/>
                <w:kern w:val="0"/>
                <w:sz w:val="21"/>
                <w:szCs w:val="21"/>
                <w:highlight w:val="none"/>
                <w:lang w:val="en-US" w:eastAsia="zh-CN"/>
              </w:rPr>
              <w:t>协作内容</w:t>
            </w:r>
            <w:r>
              <w:rPr>
                <w:rFonts w:hint="eastAsia" w:ascii="宋体" w:hAnsi="宋体" w:eastAsia="宋体" w:cs="宋体"/>
                <w:color w:val="auto"/>
                <w:kern w:val="0"/>
                <w:sz w:val="21"/>
                <w:szCs w:val="21"/>
                <w:highlight w:val="none"/>
                <w:lang w:val="en-US" w:eastAsia="zh-CN"/>
              </w:rPr>
              <w:t>）。</w:t>
            </w:r>
          </w:p>
        </w:tc>
        <w:tc>
          <w:tcPr>
            <w:tcW w:w="1075"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个月</w:t>
            </w:r>
          </w:p>
        </w:tc>
        <w:tc>
          <w:tcPr>
            <w:tcW w:w="2065"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开工日期</w:t>
            </w:r>
            <w:r>
              <w:rPr>
                <w:rFonts w:hint="eastAsia" w:ascii="宋体" w:hAnsi="宋体" w:eastAsia="宋体" w:cs="宋体"/>
                <w:color w:val="auto"/>
                <w:sz w:val="21"/>
                <w:szCs w:val="21"/>
                <w:highlight w:val="none"/>
              </w:rPr>
              <w:t>以招标人要求为准</w:t>
            </w:r>
          </w:p>
        </w:tc>
      </w:tr>
    </w:tbl>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b w:val="0"/>
          <w:bCs/>
          <w:color w:val="auto"/>
          <w:sz w:val="28"/>
          <w:szCs w:val="28"/>
          <w:highlight w:val="none"/>
        </w:rPr>
      </w:pPr>
    </w:p>
    <w:p>
      <w:pPr>
        <w:rPr>
          <w:rFonts w:hint="eastAsia" w:ascii="宋体" w:hAnsi="宋体" w:eastAsia="宋体" w:cs="宋体"/>
          <w:b w:val="0"/>
          <w:bCs/>
          <w:color w:val="auto"/>
          <w:sz w:val="28"/>
          <w:szCs w:val="28"/>
          <w:highlight w:val="none"/>
        </w:rPr>
      </w:pPr>
    </w:p>
    <w:p>
      <w:pPr>
        <w:pStyle w:val="2"/>
        <w:rPr>
          <w:rFonts w:hint="eastAsia" w:ascii="宋体" w:hAnsi="宋体" w:eastAsia="宋体" w:cs="宋体"/>
          <w:color w:val="auto"/>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三</w:t>
      </w:r>
    </w:p>
    <w:p>
      <w:pPr>
        <w:rPr>
          <w:rFonts w:hint="eastAsia" w:ascii="宋体" w:hAnsi="宋体" w:eastAsia="宋体" w:cs="宋体"/>
          <w:color w:val="auto"/>
          <w:highlight w:val="none"/>
        </w:rPr>
      </w:pPr>
    </w:p>
    <w:p>
      <w:pPr>
        <w:pStyle w:val="2"/>
        <w:ind w:firstLine="0"/>
        <w:jc w:val="center"/>
        <w:rPr>
          <w:rFonts w:hint="eastAsia" w:ascii="宋体" w:hAnsi="宋体" w:eastAsia="宋体" w:cs="宋体"/>
          <w:b/>
          <w:bCs/>
          <w:i w:val="0"/>
          <w:iCs w:val="0"/>
          <w:sz w:val="24"/>
          <w:szCs w:val="24"/>
          <w:lang w:val="en-US" w:eastAsia="zh-CN"/>
        </w:rPr>
      </w:pPr>
      <w:r>
        <w:rPr>
          <w:rFonts w:hint="eastAsia" w:ascii="宋体" w:hAnsi="宋体" w:eastAsia="宋体" w:cs="宋体"/>
          <w:b/>
          <w:bCs/>
          <w:color w:val="auto"/>
          <w:sz w:val="28"/>
          <w:szCs w:val="28"/>
          <w:highlight w:val="none"/>
          <w:lang w:val="en-US" w:eastAsia="zh-CN"/>
        </w:rPr>
        <w:t>G5京昆高速公路绵阳至成都段扩容项目路面2标主体水稳、油面工程劳务合作项目</w:t>
      </w:r>
      <w:r>
        <w:rPr>
          <w:rFonts w:hint="eastAsia" w:ascii="宋体" w:hAnsi="宋体" w:eastAsia="宋体" w:cs="宋体"/>
          <w:b/>
          <w:bCs/>
          <w:i w:val="0"/>
          <w:iCs w:val="0"/>
          <w:sz w:val="24"/>
          <w:szCs w:val="24"/>
          <w:lang w:val="en-US" w:eastAsia="zh-CN"/>
        </w:rPr>
        <w:t xml:space="preserve">                     </w:t>
      </w:r>
    </w:p>
    <w:p>
      <w:pPr>
        <w:pStyle w:val="2"/>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color w:val="auto"/>
          <w:highlight w:val="none"/>
        </w:rPr>
      </w:pPr>
    </w:p>
    <w:tbl>
      <w:tblPr>
        <w:tblStyle w:val="6"/>
        <w:tblpPr w:leftFromText="180" w:rightFromText="180" w:vertAnchor="text" w:horzAnchor="page" w:tblpX="1280" w:tblpY="89"/>
        <w:tblOverlap w:val="never"/>
        <w:tblW w:w="13865" w:type="dxa"/>
        <w:jc w:val="center"/>
        <w:tblLayout w:type="fixed"/>
        <w:tblCellMar>
          <w:top w:w="0" w:type="dxa"/>
          <w:left w:w="0" w:type="dxa"/>
          <w:bottom w:w="0" w:type="dxa"/>
          <w:right w:w="0" w:type="dxa"/>
        </w:tblCellMar>
      </w:tblPr>
      <w:tblGrid>
        <w:gridCol w:w="527"/>
        <w:gridCol w:w="1417"/>
        <w:gridCol w:w="1634"/>
        <w:gridCol w:w="4226"/>
        <w:gridCol w:w="4952"/>
        <w:gridCol w:w="1109"/>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14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分段名称</w:t>
            </w:r>
          </w:p>
        </w:tc>
        <w:tc>
          <w:tcPr>
            <w:tcW w:w="163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特征</w:t>
            </w:r>
          </w:p>
        </w:tc>
        <w:tc>
          <w:tcPr>
            <w:tcW w:w="422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施工企业资质等级要求</w:t>
            </w:r>
          </w:p>
        </w:tc>
        <w:tc>
          <w:tcPr>
            <w:tcW w:w="49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业绩基本要求</w:t>
            </w:r>
          </w:p>
        </w:tc>
        <w:tc>
          <w:tcPr>
            <w:tcW w:w="11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14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163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4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49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c>
          <w:tcPr>
            <w:tcW w:w="11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1623"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sz w:val="22"/>
                <w:szCs w:val="21"/>
                <w:highlight w:val="none"/>
                <w:lang w:val="en-US" w:eastAsia="zh-CN"/>
              </w:rPr>
            </w:pP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3</w:t>
            </w:r>
            <w:r>
              <w:rPr>
                <w:rFonts w:hint="eastAsia" w:ascii="宋体" w:hAnsi="宋体" w:eastAsia="宋体" w:cs="宋体"/>
                <w:color w:val="auto"/>
                <w:szCs w:val="21"/>
                <w:highlight w:val="none"/>
                <w:lang w:val="en-US" w:eastAsia="zh-CN"/>
              </w:rPr>
              <w:t>标段</w:t>
            </w:r>
          </w:p>
        </w:tc>
        <w:tc>
          <w:tcPr>
            <w:tcW w:w="16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2"/>
                <w:szCs w:val="22"/>
                <w:highlight w:val="none"/>
                <w:lang w:val="en-US" w:eastAsia="zh-CN"/>
              </w:rPr>
              <w:t>水泥稳定碎石和级配碎石</w:t>
            </w:r>
          </w:p>
        </w:tc>
        <w:tc>
          <w:tcPr>
            <w:tcW w:w="4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具有政府主管部门颁布的公路工程施工总承包三级及以上资质或施工劳务资质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440" w:firstLineChars="20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五年内（2017年5月1日至今，以合同签订时间为准）完成</w:t>
            </w:r>
            <w:r>
              <w:rPr>
                <w:rFonts w:hint="eastAsia" w:ascii="宋体" w:hAnsi="宋体" w:cs="宋体"/>
                <w:color w:val="auto"/>
                <w:sz w:val="22"/>
                <w:szCs w:val="22"/>
                <w:highlight w:val="none"/>
                <w:lang w:val="en-US" w:eastAsia="zh-CN"/>
              </w:rPr>
              <w:t>路面</w:t>
            </w:r>
            <w:r>
              <w:rPr>
                <w:rFonts w:hint="eastAsia" w:ascii="宋体" w:hAnsi="宋体" w:eastAsia="宋体" w:cs="宋体"/>
                <w:color w:val="auto"/>
                <w:sz w:val="22"/>
                <w:szCs w:val="22"/>
                <w:highlight w:val="none"/>
                <w:lang w:val="en-US" w:eastAsia="zh-CN"/>
              </w:rPr>
              <w:t>工程项目施工业绩1个及以上。</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1604"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kern w:val="2"/>
                <w:sz w:val="22"/>
                <w:szCs w:val="21"/>
                <w:highlight w:val="none"/>
                <w:lang w:val="en-US" w:eastAsia="zh-CN" w:bidi="ar-SA"/>
              </w:rPr>
            </w:pP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4</w:t>
            </w:r>
            <w:r>
              <w:rPr>
                <w:rFonts w:hint="eastAsia" w:ascii="宋体" w:hAnsi="宋体" w:eastAsia="宋体" w:cs="宋体"/>
                <w:color w:val="auto"/>
                <w:szCs w:val="21"/>
                <w:highlight w:val="none"/>
                <w:lang w:val="en-US" w:eastAsia="zh-CN"/>
              </w:rPr>
              <w:t>标段</w:t>
            </w:r>
          </w:p>
        </w:tc>
        <w:tc>
          <w:tcPr>
            <w:tcW w:w="16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2"/>
                <w:szCs w:val="22"/>
                <w:highlight w:val="none"/>
                <w:lang w:val="en-US" w:eastAsia="zh-CN"/>
              </w:rPr>
              <w:t>水泥稳定碎石和级配碎石</w:t>
            </w:r>
          </w:p>
        </w:tc>
        <w:tc>
          <w:tcPr>
            <w:tcW w:w="4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具有政府主管部门颁布的公路工程施工总承包三级及以上资质或施工劳务资质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五年内（2017年5月1日至今，以合同签订时间为准）完成路面工程项目施工业绩1个及以上。</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0" w:type="dxa"/>
            <w:bottom w:w="0" w:type="dxa"/>
            <w:right w:w="0" w:type="dxa"/>
          </w:tblCellMar>
        </w:tblPrEx>
        <w:trPr>
          <w:trHeight w:val="1674"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kern w:val="2"/>
                <w:sz w:val="22"/>
                <w:szCs w:val="21"/>
                <w:highlight w:val="none"/>
                <w:lang w:val="en-US" w:eastAsia="zh-CN" w:bidi="ar-SA"/>
              </w:rPr>
            </w:pPr>
            <w:r>
              <w:rPr>
                <w:rFonts w:hint="eastAsia" w:ascii="宋体" w:hAnsi="宋体" w:cs="宋体"/>
                <w:color w:val="auto"/>
                <w:sz w:val="21"/>
                <w:szCs w:val="21"/>
                <w:highlight w:val="none"/>
                <w:lang w:val="en-US" w:eastAsia="zh-CN"/>
              </w:rPr>
              <w:t>CM</w:t>
            </w:r>
            <w:r>
              <w:rPr>
                <w:rFonts w:hint="eastAsia" w:ascii="宋体" w:hAnsi="宋体" w:eastAsia="宋体" w:cs="宋体"/>
                <w:color w:val="auto"/>
                <w:sz w:val="21"/>
                <w:szCs w:val="21"/>
                <w:highlight w:val="none"/>
                <w:lang w:val="en-US" w:eastAsia="zh-CN"/>
              </w:rPr>
              <w:t>LM2-</w:t>
            </w:r>
            <w:r>
              <w:rPr>
                <w:rFonts w:hint="eastAsia" w:ascii="宋体" w:hAnsi="宋体" w:cs="宋体"/>
                <w:color w:val="auto"/>
                <w:sz w:val="21"/>
                <w:szCs w:val="21"/>
                <w:highlight w:val="none"/>
                <w:lang w:val="en-US" w:eastAsia="zh-CN"/>
              </w:rPr>
              <w:t>5</w:t>
            </w:r>
            <w:r>
              <w:rPr>
                <w:rFonts w:hint="eastAsia" w:ascii="宋体" w:hAnsi="宋体" w:eastAsia="宋体" w:cs="宋体"/>
                <w:color w:val="auto"/>
                <w:szCs w:val="21"/>
                <w:highlight w:val="none"/>
                <w:lang w:val="en-US" w:eastAsia="zh-CN"/>
              </w:rPr>
              <w:t>标段</w:t>
            </w:r>
          </w:p>
        </w:tc>
        <w:tc>
          <w:tcPr>
            <w:tcW w:w="16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沥青混合料</w:t>
            </w:r>
          </w:p>
        </w:tc>
        <w:tc>
          <w:tcPr>
            <w:tcW w:w="4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具有政府主管部门颁布的公路工程施工总承包三级及以上资质或施工劳务资质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五年内（2017年5月1日至今，以合同签订时间为准）完成路面工程项目施工业绩1个及以上。</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p>
        </w:tc>
      </w:tr>
    </w:tbl>
    <w:p>
      <w:pPr>
        <w:pStyle w:val="2"/>
        <w:ind w:left="0" w:leftChars="0" w:firstLine="0" w:firstLineChars="0"/>
        <w:rPr>
          <w:rFonts w:hint="eastAsia" w:ascii="宋体" w:hAnsi="宋体" w:eastAsia="宋体" w:cs="宋体"/>
          <w:b/>
          <w:color w:val="auto"/>
          <w:sz w:val="32"/>
          <w:szCs w:val="32"/>
          <w:highlight w:val="none"/>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四</w:t>
      </w:r>
    </w:p>
    <w:tbl>
      <w:tblPr>
        <w:tblStyle w:val="6"/>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bCs/>
                <w:color w:val="auto"/>
                <w:sz w:val="28"/>
                <w:szCs w:val="28"/>
                <w:highlight w:val="none"/>
                <w:lang w:val="en-US" w:eastAsia="zh-CN"/>
              </w:rPr>
              <w:t>G5京昆高速公路绵阳至成都段扩容项目路面2标主体水稳、油面工程劳务合作项</w:t>
            </w:r>
            <w:r>
              <w:rPr>
                <w:rFonts w:hint="eastAsia" w:ascii="宋体" w:hAnsi="宋体" w:cs="宋体"/>
                <w:b/>
                <w:bCs/>
                <w:color w:val="auto"/>
                <w:sz w:val="28"/>
                <w:szCs w:val="28"/>
                <w:highlight w:val="none"/>
                <w:lang w:val="en-US" w:eastAsia="zh-CN"/>
              </w:rPr>
              <w:t>目CMLM2-3、4</w:t>
            </w:r>
            <w:r>
              <w:rPr>
                <w:rFonts w:hint="eastAsia" w:ascii="宋体" w:hAnsi="宋体" w:eastAsia="宋体" w:cs="宋体"/>
                <w:b/>
                <w:bCs/>
                <w:color w:val="auto"/>
                <w:sz w:val="28"/>
                <w:szCs w:val="28"/>
                <w:highlight w:val="none"/>
                <w:lang w:val="en-US" w:eastAsia="zh-CN"/>
              </w:rPr>
              <w:t>标段(水稳一</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队)</w:t>
            </w:r>
            <w:r>
              <w:rPr>
                <w:rFonts w:hint="eastAsia" w:ascii="宋体" w:hAnsi="宋体" w:eastAsia="宋体" w:cs="宋体"/>
                <w:b/>
                <w:color w:val="auto"/>
                <w:kern w:val="0"/>
                <w:sz w:val="28"/>
                <w:szCs w:val="28"/>
                <w:highlight w:val="none"/>
                <w:lang w:bidi="ar"/>
              </w:rPr>
              <w:t>拟投入人员</w:t>
            </w:r>
            <w:r>
              <w:rPr>
                <w:rFonts w:hint="eastAsia" w:ascii="宋体" w:hAnsi="宋体" w:eastAsia="宋体" w:cs="宋体"/>
                <w:b/>
                <w:color w:val="auto"/>
                <w:kern w:val="0"/>
                <w:sz w:val="28"/>
                <w:szCs w:val="28"/>
                <w:highlight w:val="none"/>
                <w:lang w:val="en-US" w:eastAsia="zh-CN" w:bidi="ar"/>
              </w:rPr>
              <w:t>配置表</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color w:val="auto"/>
                <w:kern w:val="0"/>
                <w:sz w:val="28"/>
                <w:szCs w:val="28"/>
                <w:highlight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 w:val="21"/>
                <w:szCs w:val="21"/>
                <w:highlight w:val="none"/>
                <w:lang w:bidi="ar"/>
              </w:rPr>
              <w:t>在1个</w:t>
            </w:r>
            <w:r>
              <w:rPr>
                <w:rFonts w:hint="eastAsia" w:ascii="宋体" w:hAnsi="宋体" w:cs="宋体"/>
                <w:color w:val="auto"/>
                <w:kern w:val="0"/>
                <w:sz w:val="21"/>
                <w:szCs w:val="21"/>
                <w:highlight w:val="none"/>
                <w:lang w:val="en-US" w:eastAsia="zh-CN" w:bidi="ar"/>
              </w:rPr>
              <w:t>路面工程</w:t>
            </w:r>
            <w:r>
              <w:rPr>
                <w:rFonts w:hint="eastAsia" w:ascii="宋体" w:hAnsi="宋体" w:eastAsia="宋体" w:cs="宋体"/>
                <w:color w:val="auto"/>
                <w:kern w:val="0"/>
                <w:sz w:val="21"/>
                <w:szCs w:val="21"/>
                <w:highlight w:val="none"/>
                <w:lang w:bidi="ar"/>
              </w:rPr>
              <w:t>项目担任项目负责人或项目技术负责人</w:t>
            </w:r>
            <w:r>
              <w:rPr>
                <w:rFonts w:hint="eastAsia" w:ascii="宋体" w:hAnsi="宋体" w:eastAsia="宋体" w:cs="宋体"/>
                <w:color w:val="auto"/>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协助项目负责人负责项目进度、技术、质量等工作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 w:val="21"/>
                <w:szCs w:val="21"/>
                <w:highlight w:val="none"/>
                <w:lang w:bidi="ar"/>
              </w:rPr>
              <w:t>在1个</w:t>
            </w:r>
            <w:r>
              <w:rPr>
                <w:rFonts w:hint="eastAsia" w:ascii="宋体" w:hAnsi="宋体" w:cs="宋体"/>
                <w:color w:val="auto"/>
                <w:kern w:val="0"/>
                <w:sz w:val="21"/>
                <w:szCs w:val="21"/>
                <w:highlight w:val="none"/>
                <w:lang w:val="en-US" w:eastAsia="zh-CN" w:bidi="ar"/>
              </w:rPr>
              <w:t>路面工程</w:t>
            </w:r>
            <w:r>
              <w:rPr>
                <w:rFonts w:hint="eastAsia" w:ascii="宋体" w:hAnsi="宋体" w:eastAsia="宋体" w:cs="宋体"/>
                <w:color w:val="auto"/>
                <w:kern w:val="0"/>
                <w:sz w:val="21"/>
                <w:szCs w:val="21"/>
                <w:highlight w:val="none"/>
                <w:lang w:bidi="ar"/>
              </w:rPr>
              <w:t>项目担任项目负责人或项目技术负责人</w:t>
            </w:r>
            <w:r>
              <w:rPr>
                <w:rFonts w:hint="eastAsia" w:ascii="宋体" w:hAnsi="宋体" w:eastAsia="宋体" w:cs="宋体"/>
                <w:color w:val="auto"/>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负责现场安全、安全交底、安全检查</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val="en-US" w:eastAsia="zh-CN"/>
              </w:rPr>
              <w:t>持安全C证以及相关工作经验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现场技术员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负责现场测量、放线工作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施工管理、记录表</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Cs w:val="21"/>
                <w:highlight w:val="none"/>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负责内业资料、结算及物资管理等相关工作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780" w:type="dxa"/>
            <w:gridSpan w:val="5"/>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1、本表为主要人员的最低要求，投标人应根据施工需要或招标人的要求增加相关专业技术人员。 2、如因投标人的原因(除不可抗拒因素外)更换上述主要人员，须报请招标人批准，更换人员的资质不能低于招标文件要求。自行更换主要负责人的，对投标人按每人次课以50万元人民币违约金。3、相关管理人员及技术人员必须在岗，有特殊情况离岗必须向项目部请假并得到批准。</w:t>
            </w:r>
          </w:p>
        </w:tc>
      </w:tr>
    </w:tbl>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pStyle w:val="2"/>
        <w:ind w:firstLine="0"/>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ind w:left="0" w:leftChars="0" w:firstLine="0" w:firstLineChars="0"/>
        <w:rPr>
          <w:rFonts w:hint="eastAsia"/>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highlight w:val="none"/>
          <w:lang w:val="en-US" w:eastAsia="zh-CN"/>
        </w:rPr>
      </w:pPr>
      <w:bookmarkStart w:id="0" w:name="_GoBack"/>
      <w:bookmarkEnd w:id="0"/>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五</w:t>
      </w:r>
    </w:p>
    <w:tbl>
      <w:tblPr>
        <w:tblStyle w:val="6"/>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G5京昆高速公路绵阳至成都段扩容项目路面2标主体水稳、油面工程劳务合作项目CMLM2-5标段(油面队伍)拟投入人员配置表</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color w:val="auto"/>
                <w:kern w:val="0"/>
                <w:sz w:val="28"/>
                <w:szCs w:val="28"/>
                <w:highlight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 w:val="21"/>
                <w:szCs w:val="21"/>
                <w:highlight w:val="none"/>
                <w:lang w:bidi="ar"/>
              </w:rPr>
              <w:t>在1个</w:t>
            </w:r>
            <w:r>
              <w:rPr>
                <w:rFonts w:hint="eastAsia" w:ascii="宋体" w:hAnsi="宋体" w:cs="宋体"/>
                <w:color w:val="auto"/>
                <w:kern w:val="0"/>
                <w:sz w:val="21"/>
                <w:szCs w:val="21"/>
                <w:highlight w:val="none"/>
                <w:lang w:val="en-US" w:eastAsia="zh-CN" w:bidi="ar"/>
              </w:rPr>
              <w:t>路面工程</w:t>
            </w:r>
            <w:r>
              <w:rPr>
                <w:rFonts w:hint="eastAsia" w:ascii="宋体" w:hAnsi="宋体" w:eastAsia="宋体" w:cs="宋体"/>
                <w:color w:val="auto"/>
                <w:kern w:val="0"/>
                <w:sz w:val="21"/>
                <w:szCs w:val="21"/>
                <w:highlight w:val="none"/>
                <w:lang w:bidi="ar"/>
              </w:rPr>
              <w:t>项目担任项目负责人或项目技术负责人</w:t>
            </w:r>
            <w:r>
              <w:rPr>
                <w:rFonts w:hint="eastAsia" w:ascii="宋体" w:hAnsi="宋体" w:eastAsia="宋体" w:cs="宋体"/>
                <w:color w:val="auto"/>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协助项目负责人负责项目进度、技术、质量等工作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 w:val="21"/>
                <w:szCs w:val="21"/>
                <w:highlight w:val="none"/>
                <w:lang w:bidi="ar"/>
              </w:rPr>
              <w:t>在1个</w:t>
            </w:r>
            <w:r>
              <w:rPr>
                <w:rFonts w:hint="eastAsia" w:ascii="宋体" w:hAnsi="宋体" w:cs="宋体"/>
                <w:color w:val="auto"/>
                <w:kern w:val="0"/>
                <w:sz w:val="21"/>
                <w:szCs w:val="21"/>
                <w:highlight w:val="none"/>
                <w:lang w:val="en-US" w:eastAsia="zh-CN" w:bidi="ar"/>
              </w:rPr>
              <w:t>路面工程</w:t>
            </w:r>
            <w:r>
              <w:rPr>
                <w:rFonts w:hint="eastAsia" w:ascii="宋体" w:hAnsi="宋体" w:eastAsia="宋体" w:cs="宋体"/>
                <w:color w:val="auto"/>
                <w:kern w:val="0"/>
                <w:sz w:val="21"/>
                <w:szCs w:val="21"/>
                <w:highlight w:val="none"/>
                <w:lang w:bidi="ar"/>
              </w:rPr>
              <w:t>项目担任项目负责人或项目技术负责人</w:t>
            </w:r>
            <w:r>
              <w:rPr>
                <w:rFonts w:hint="eastAsia" w:ascii="宋体" w:hAnsi="宋体" w:eastAsia="宋体" w:cs="宋体"/>
                <w:color w:val="auto"/>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负责现场安全、安全交底、安全检查</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val="en-US" w:eastAsia="zh-CN"/>
              </w:rPr>
              <w:t>持安全C证以及相关工作经验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现场技术员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负责现场测量、放线工作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施工管理、记录表</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color w:val="auto"/>
                <w:kern w:val="0"/>
                <w:szCs w:val="21"/>
                <w:highlight w:val="none"/>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负责内业资料、结算及物资管理等相关工作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0" w:hRule="atLeast"/>
        </w:trPr>
        <w:tc>
          <w:tcPr>
            <w:tcW w:w="9780" w:type="dxa"/>
            <w:gridSpan w:val="5"/>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1、本表为主要人员的最低要求，投标人应根据施工需要或招标人的要求增加相关专业技术人员。 2、如因投标人的原因(除不可抗拒因素外)更换上述主要人员，须报请招标人批准，更换人员的资质不能低于招标文件要求。自行更换主要负责人的，对投标人按每人次课以50万元人民币违约金。3、相关管理人员及技术人员必须在岗，有特殊情况离岗必须向项目部请假并得到批准。</w:t>
            </w:r>
          </w:p>
        </w:tc>
      </w:tr>
    </w:tbl>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rPr>
      </w:pPr>
    </w:p>
    <w:p>
      <w:pPr>
        <w:pStyle w:val="2"/>
        <w:ind w:firstLine="0"/>
        <w:jc w:val="left"/>
        <w:rPr>
          <w:rFonts w:hint="eastAsia" w:ascii="宋体" w:hAnsi="宋体" w:eastAsia="宋体" w:cs="宋体"/>
          <w:color w:val="auto"/>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六</w:t>
      </w:r>
    </w:p>
    <w:tbl>
      <w:tblPr>
        <w:tblStyle w:val="6"/>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G5京昆高速公路绵阳至成都段扩容项目路面2标主体水稳、油面工程劳务合作项目</w:t>
            </w:r>
            <w:r>
              <w:rPr>
                <w:rFonts w:hint="eastAsia" w:ascii="宋体" w:hAnsi="宋体" w:cs="宋体"/>
                <w:b/>
                <w:bCs/>
                <w:color w:val="auto"/>
                <w:sz w:val="28"/>
                <w:szCs w:val="28"/>
                <w:highlight w:val="none"/>
                <w:lang w:val="en-US" w:eastAsia="zh-CN"/>
              </w:rPr>
              <w:t>CMLM2-3、4</w:t>
            </w:r>
            <w:r>
              <w:rPr>
                <w:rFonts w:hint="eastAsia" w:ascii="宋体" w:hAnsi="宋体" w:eastAsia="宋体" w:cs="宋体"/>
                <w:b/>
                <w:bCs/>
                <w:color w:val="auto"/>
                <w:sz w:val="28"/>
                <w:szCs w:val="28"/>
                <w:highlight w:val="none"/>
                <w:lang w:val="en-US" w:eastAsia="zh-CN"/>
              </w:rPr>
              <w:t>标段(水稳一</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队)</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w:t>
            </w:r>
          </w:p>
          <w:tbl>
            <w:tblPr>
              <w:tblStyle w:val="6"/>
              <w:tblpPr w:leftFromText="180" w:rightFromText="180" w:vertAnchor="text" w:horzAnchor="page" w:tblpXSpec="center" w:tblpY="462"/>
              <w:tblOverlap w:val="never"/>
              <w:tblW w:w="9525" w:type="dxa"/>
              <w:jc w:val="center"/>
              <w:tblLayout w:type="fixed"/>
              <w:tblCellMar>
                <w:top w:w="0" w:type="dxa"/>
                <w:left w:w="108" w:type="dxa"/>
                <w:bottom w:w="0" w:type="dxa"/>
                <w:right w:w="108" w:type="dxa"/>
              </w:tblCellMar>
            </w:tblPr>
            <w:tblGrid>
              <w:gridCol w:w="651"/>
              <w:gridCol w:w="1619"/>
              <w:gridCol w:w="1475"/>
              <w:gridCol w:w="648"/>
              <w:gridCol w:w="511"/>
              <w:gridCol w:w="861"/>
              <w:gridCol w:w="705"/>
              <w:gridCol w:w="1119"/>
              <w:gridCol w:w="825"/>
              <w:gridCol w:w="1111"/>
            </w:tblGrid>
            <w:tr>
              <w:tblPrEx>
                <w:tblCellMar>
                  <w:top w:w="0" w:type="dxa"/>
                  <w:left w:w="108" w:type="dxa"/>
                  <w:bottom w:w="0" w:type="dxa"/>
                  <w:right w:w="108" w:type="dxa"/>
                </w:tblCellMar>
              </w:tblPrEx>
              <w:trPr>
                <w:trHeight w:val="344" w:hRule="atLeast"/>
                <w:jc w:val="center"/>
              </w:trPr>
              <w:tc>
                <w:tcPr>
                  <w:tcW w:w="651"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19"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w:t>
                  </w:r>
                </w:p>
                <w:p>
                  <w:pPr>
                    <w:pStyle w:val="9"/>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75" w:type="dxa"/>
                  <w:vMerge w:val="restart"/>
                  <w:tcBorders>
                    <w:top w:val="single" w:color="000000" w:sz="4" w:space="0"/>
                    <w:left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规格、型号</w:t>
                  </w:r>
                </w:p>
              </w:tc>
              <w:tc>
                <w:tcPr>
                  <w:tcW w:w="648" w:type="dxa"/>
                  <w:vMerge w:val="restart"/>
                  <w:tcBorders>
                    <w:top w:val="single" w:color="auto" w:sz="4" w:space="0"/>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出厂日期</w:t>
                  </w:r>
                </w:p>
              </w:tc>
              <w:tc>
                <w:tcPr>
                  <w:tcW w:w="5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w:t>
                  </w:r>
                </w:p>
              </w:tc>
              <w:tc>
                <w:tcPr>
                  <w:tcW w:w="1566" w:type="dxa"/>
                  <w:gridSpan w:val="2"/>
                  <w:tcBorders>
                    <w:top w:val="single" w:color="000000" w:sz="4" w:space="0"/>
                    <w:left w:val="single" w:color="auto"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highlight w:val="none"/>
                      <w:lang w:val="en-US" w:bidi="ar-SA"/>
                    </w:rPr>
                  </w:pPr>
                  <w:r>
                    <w:rPr>
                      <w:rFonts w:hint="eastAsia" w:ascii="宋体" w:hAnsi="宋体" w:eastAsia="宋体" w:cs="宋体"/>
                      <w:color w:val="auto"/>
                      <w:szCs w:val="21"/>
                      <w:highlight w:val="none"/>
                      <w:lang w:val="en-US" w:bidi="ar-SA"/>
                    </w:rPr>
                    <w:t>基本要求</w:t>
                  </w:r>
                </w:p>
              </w:tc>
              <w:tc>
                <w:tcPr>
                  <w:tcW w:w="1119"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每增加一台自有设备加分值</w:t>
                  </w:r>
                </w:p>
              </w:tc>
              <w:tc>
                <w:tcPr>
                  <w:tcW w:w="825" w:type="dxa"/>
                  <w:vMerge w:val="restart"/>
                  <w:tcBorders>
                    <w:top w:val="single" w:color="000000" w:sz="4" w:space="0"/>
                    <w:left w:val="single" w:color="000000" w:sz="4" w:space="0"/>
                    <w:right w:val="single" w:color="auto"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lang w:val="en-US" w:bidi="ar-SA"/>
                    </w:rPr>
                  </w:pPr>
                  <w:r>
                    <w:rPr>
                      <w:rFonts w:hint="eastAsia" w:ascii="宋体" w:hAnsi="宋体" w:eastAsia="宋体" w:cs="宋体"/>
                      <w:color w:val="auto"/>
                      <w:szCs w:val="21"/>
                      <w:highlight w:val="none"/>
                      <w:lang w:val="en-US" w:bidi="ar-SA"/>
                    </w:rPr>
                    <w:t>加分上限</w:t>
                  </w:r>
                </w:p>
              </w:tc>
              <w:tc>
                <w:tcPr>
                  <w:tcW w:w="1111" w:type="dxa"/>
                  <w:vMerge w:val="restart"/>
                  <w:tcBorders>
                    <w:top w:val="single" w:color="auto" w:sz="4" w:space="0"/>
                    <w:left w:val="single" w:color="auto" w:sz="4" w:space="0"/>
                    <w:right w:val="single" w:color="auto"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lang w:val="en-US" w:bidi="ar-SA"/>
                    </w:rPr>
                  </w:pPr>
                  <w:r>
                    <w:rPr>
                      <w:rFonts w:hint="eastAsia" w:ascii="宋体" w:hAnsi="宋体" w:eastAsia="宋体" w:cs="宋体"/>
                      <w:color w:val="auto"/>
                      <w:szCs w:val="21"/>
                      <w:highlight w:val="none"/>
                      <w:lang w:val="en-US" w:bidi="ar-SA"/>
                    </w:rPr>
                    <w:t>备注</w:t>
                  </w:r>
                </w:p>
              </w:tc>
            </w:tr>
            <w:tr>
              <w:trPr>
                <w:trHeight w:val="857" w:hRule="atLeast"/>
                <w:jc w:val="center"/>
              </w:trPr>
              <w:tc>
                <w:tcPr>
                  <w:tcW w:w="65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1619"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1475" w:type="dxa"/>
                  <w:vMerge w:val="continue"/>
                  <w:tcBorders>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648"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5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highlight w:val="none"/>
                      <w:lang w:val="en-US" w:eastAsia="zh-CN" w:bidi="ar-SA"/>
                    </w:rPr>
                  </w:pPr>
                  <w:r>
                    <w:rPr>
                      <w:rFonts w:hint="eastAsia" w:ascii="宋体" w:hAnsi="宋体" w:eastAsia="宋体" w:cs="宋体"/>
                      <w:color w:val="auto"/>
                      <w:szCs w:val="21"/>
                      <w:highlight w:val="none"/>
                      <w:lang w:val="en-US" w:bidi="ar-SA"/>
                    </w:rPr>
                    <w:t>总数量</w:t>
                  </w:r>
                </w:p>
              </w:tc>
              <w:tc>
                <w:tcPr>
                  <w:tcW w:w="705" w:type="dxa"/>
                  <w:tcBorders>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highlight w:val="none"/>
                      <w:lang w:val="en-US" w:bidi="ar-SA"/>
                    </w:rPr>
                  </w:pPr>
                  <w:r>
                    <w:rPr>
                      <w:rFonts w:hint="eastAsia" w:ascii="宋体" w:hAnsi="宋体" w:eastAsia="宋体" w:cs="宋体"/>
                      <w:color w:val="auto"/>
                      <w:szCs w:val="21"/>
                      <w:highlight w:val="none"/>
                      <w:lang w:val="en-US" w:bidi="ar-SA"/>
                    </w:rPr>
                    <w:t>自有设备</w:t>
                  </w:r>
                </w:p>
              </w:tc>
              <w:tc>
                <w:tcPr>
                  <w:tcW w:w="111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c>
                <w:tcPr>
                  <w:tcW w:w="825" w:type="dxa"/>
                  <w:vMerge w:val="continue"/>
                  <w:tcBorders>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r>
            <w:tr>
              <w:trPr>
                <w:trHeight w:val="5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rPr>
                  </w:pPr>
                  <w:r>
                    <w:rPr>
                      <w:rFonts w:hint="eastAsia" w:ascii="宋体" w:hAnsi="宋体" w:cs="宋体"/>
                      <w:i w:val="0"/>
                      <w:color w:val="000000"/>
                      <w:kern w:val="0"/>
                      <w:sz w:val="21"/>
                      <w:szCs w:val="21"/>
                      <w:u w:val="none"/>
                      <w:lang w:val="en-US" w:eastAsia="zh-CN" w:bidi="ar"/>
                    </w:rPr>
                    <w:t>直板</w:t>
                  </w:r>
                  <w:r>
                    <w:rPr>
                      <w:rFonts w:hint="eastAsia" w:ascii="宋体" w:hAnsi="宋体" w:eastAsia="宋体" w:cs="宋体"/>
                      <w:i w:val="0"/>
                      <w:color w:val="000000"/>
                      <w:kern w:val="0"/>
                      <w:sz w:val="21"/>
                      <w:szCs w:val="21"/>
                      <w:u w:val="none"/>
                      <w:lang w:val="en-US" w:eastAsia="zh-CN" w:bidi="ar"/>
                    </w:rPr>
                    <w:t>摊铺机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长城</w:t>
                  </w:r>
                </w:p>
              </w:tc>
              <w:tc>
                <w:tcPr>
                  <w:tcW w:w="648" w:type="dxa"/>
                  <w:vMerge w:val="restart"/>
                  <w:tcBorders>
                    <w:top w:val="single" w:color="auto" w:sz="4" w:space="0"/>
                    <w:left w:val="single" w:color="auto" w:sz="4" w:space="0"/>
                    <w:right w:val="single" w:color="auto" w:sz="4" w:space="0"/>
                    <w:tl2br w:val="nil"/>
                    <w:tr2bl w:val="nil"/>
                  </w:tcBorders>
                  <w:vAlign w:val="center"/>
                </w:tcPr>
                <w:p>
                  <w:pPr>
                    <w:spacing w:line="440" w:lineRule="exact"/>
                    <w:jc w:val="left"/>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val="en-US" w:eastAsia="zh-CN"/>
                    </w:rPr>
                    <w:t>月后</w:t>
                  </w: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kern w:val="2"/>
                      <w:sz w:val="21"/>
                      <w:szCs w:val="21"/>
                      <w:highlight w:val="none"/>
                      <w:lang w:val="en-US" w:eastAsia="zh-CN" w:bidi="ar-SA"/>
                    </w:rPr>
                  </w:pPr>
                  <w:r>
                    <w:rPr>
                      <w:rStyle w:val="10"/>
                      <w:rFonts w:hint="eastAsia" w:ascii="宋体" w:hAnsi="宋体" w:eastAsia="宋体" w:cs="宋体"/>
                      <w:sz w:val="21"/>
                      <w:szCs w:val="21"/>
                      <w:lang w:val="en-US" w:eastAsia="zh-CN" w:bidi="ar"/>
                    </w:rPr>
                    <w:t>双钢轮全液压压路机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Style w:val="10"/>
                      <w:rFonts w:hint="eastAsia" w:ascii="宋体" w:hAnsi="宋体" w:eastAsia="宋体" w:cs="宋体"/>
                      <w:sz w:val="21"/>
                      <w:szCs w:val="21"/>
                      <w:lang w:val="en-US" w:eastAsia="zh-CN" w:bidi="ar"/>
                    </w:rPr>
                    <w:t>13T</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胶轮压路机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26T</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电动装载机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山推LE56-X2</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单钢轮振动液压压路机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26T</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i w:val="0"/>
                      <w:color w:val="000000"/>
                      <w:kern w:val="0"/>
                      <w:sz w:val="21"/>
                      <w:szCs w:val="21"/>
                      <w:u w:val="none"/>
                      <w:lang w:val="en-US" w:eastAsia="zh-CN" w:bidi="ar"/>
                    </w:rPr>
                    <w:t>洒水车</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平地机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79"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小型压路机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水泥净浆洒布车</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水稳拌合</w:t>
                  </w:r>
                  <w:r>
                    <w:rPr>
                      <w:rFonts w:hint="eastAsia" w:ascii="宋体" w:hAnsi="宋体" w:cs="宋体"/>
                      <w:i w:val="0"/>
                      <w:color w:val="000000"/>
                      <w:kern w:val="0"/>
                      <w:sz w:val="21"/>
                      <w:szCs w:val="21"/>
                      <w:u w:val="none"/>
                      <w:lang w:val="en-US" w:eastAsia="zh-CN" w:bidi="ar"/>
                    </w:rPr>
                    <w:t>设备</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双缸800型</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水稳拌合设备</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600型</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装载机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50型</w:t>
                  </w: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扫地机</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水准仪</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电镐</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森林灭火器</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台</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照明设备</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套</w:t>
                  </w:r>
                </w:p>
              </w:tc>
              <w:tc>
                <w:tcPr>
                  <w:tcW w:w="861"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161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平板拖车</w:t>
                  </w:r>
                </w:p>
              </w:tc>
              <w:tc>
                <w:tcPr>
                  <w:tcW w:w="147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14:textFill>
                        <w14:solidFill>
                          <w14:schemeClr w14:val="tx1"/>
                        </w14:solidFill>
                      </w14:textFill>
                    </w:rPr>
                  </w:pPr>
                </w:p>
              </w:tc>
              <w:tc>
                <w:tcPr>
                  <w:tcW w:w="648"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sz w:val="21"/>
                      <w:szCs w:val="21"/>
                      <w:highlight w:val="none"/>
                      <w:lang w:val="en-US" w:eastAsia="zh-CN"/>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台</w:t>
                  </w:r>
                </w:p>
              </w:tc>
              <w:tc>
                <w:tcPr>
                  <w:tcW w:w="861"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bl>
          <w:p>
            <w:pPr>
              <w:keepNext w:val="0"/>
              <w:keepLines w:val="0"/>
              <w:widowControl/>
              <w:suppressLineNumbers w:val="0"/>
              <w:ind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i w:val="0"/>
                <w:color w:val="auto"/>
                <w:kern w:val="0"/>
                <w:sz w:val="28"/>
                <w:szCs w:val="28"/>
                <w:highlight w:val="none"/>
                <w:u w:val="none"/>
                <w:lang w:val="en-US" w:eastAsia="zh-CN" w:bidi="ar"/>
              </w:rPr>
              <w:t>(最低要求）</w:t>
            </w:r>
          </w:p>
        </w:tc>
      </w:tr>
    </w:tbl>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注：1、若监理工程师或</w:t>
      </w:r>
      <w:r>
        <w:rPr>
          <w:rFonts w:hint="eastAsia" w:ascii="宋体" w:hAnsi="宋体" w:eastAsia="宋体" w:cs="宋体"/>
          <w:color w:val="auto"/>
          <w:sz w:val="18"/>
          <w:szCs w:val="18"/>
          <w:highlight w:val="none"/>
          <w:lang w:val="en-US" w:eastAsia="zh-CN"/>
        </w:rPr>
        <w:t>招标</w:t>
      </w:r>
      <w:r>
        <w:rPr>
          <w:rFonts w:hint="eastAsia" w:ascii="宋体" w:hAnsi="宋体" w:eastAsia="宋体" w:cs="宋体"/>
          <w:color w:val="auto"/>
          <w:sz w:val="18"/>
          <w:szCs w:val="18"/>
          <w:highlight w:val="none"/>
        </w:rPr>
        <w:t>人认为投标人配备的机械设备不能满足现场施工的需要，或不能保证工程质量和进度时，</w:t>
      </w:r>
      <w:r>
        <w:rPr>
          <w:rFonts w:hint="eastAsia" w:ascii="宋体" w:hAnsi="宋体" w:eastAsia="宋体" w:cs="宋体"/>
          <w:color w:val="auto"/>
          <w:sz w:val="18"/>
          <w:szCs w:val="18"/>
          <w:highlight w:val="none"/>
          <w:lang w:val="en-US" w:eastAsia="zh-CN"/>
        </w:rPr>
        <w:t>招标</w:t>
      </w:r>
      <w:r>
        <w:rPr>
          <w:rFonts w:hint="eastAsia" w:ascii="宋体" w:hAnsi="宋体" w:eastAsia="宋体" w:cs="宋体"/>
          <w:color w:val="auto"/>
          <w:sz w:val="18"/>
          <w:szCs w:val="18"/>
          <w:highlight w:val="none"/>
        </w:rPr>
        <w:t>人有权要求投标人增加。</w:t>
      </w:r>
    </w:p>
    <w:p>
      <w:pPr>
        <w:widowControl/>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 xml:space="preserve">3、设备需具备施工能力满足实际施工需要，自有设备需提供购买发票，投标人需保证发票真实有效，并在投标文件中提供的发票网上查验结果截图（国家税务总局全国增值税发票查验平台 </w:t>
      </w:r>
      <w:r>
        <w:rPr>
          <w:rFonts w:hint="eastAsia" w:ascii="宋体" w:hAnsi="宋体" w:eastAsia="宋体" w:cs="宋体"/>
          <w:b w:val="0"/>
          <w:bCs w:val="0"/>
          <w:color w:val="auto"/>
          <w:sz w:val="18"/>
          <w:szCs w:val="18"/>
          <w:highlight w:val="none"/>
          <w:lang w:val="en-US" w:eastAsia="zh-CN"/>
        </w:rPr>
        <w:fldChar w:fldCharType="begin"/>
      </w:r>
      <w:r>
        <w:rPr>
          <w:rFonts w:hint="eastAsia" w:ascii="宋体" w:hAnsi="宋体" w:eastAsia="宋体" w:cs="宋体"/>
          <w:b w:val="0"/>
          <w:bCs w:val="0"/>
          <w:color w:val="auto"/>
          <w:sz w:val="18"/>
          <w:szCs w:val="18"/>
          <w:highlight w:val="none"/>
          <w:lang w:val="en-US" w:eastAsia="zh-CN"/>
        </w:rPr>
        <w:instrText xml:space="preserve"> HYPERLINK "https://inv-veri.chinatax.gov.cn）。若为虚假发票，做废标处理。" </w:instrText>
      </w:r>
      <w:r>
        <w:rPr>
          <w:rFonts w:hint="eastAsia" w:ascii="宋体" w:hAnsi="宋体" w:eastAsia="宋体" w:cs="宋体"/>
          <w:b w:val="0"/>
          <w:bCs w:val="0"/>
          <w:color w:val="auto"/>
          <w:sz w:val="18"/>
          <w:szCs w:val="18"/>
          <w:highlight w:val="none"/>
          <w:lang w:val="en-US" w:eastAsia="zh-CN"/>
        </w:rPr>
        <w:fldChar w:fldCharType="separate"/>
      </w:r>
      <w:r>
        <w:rPr>
          <w:rStyle w:val="8"/>
          <w:rFonts w:hint="eastAsia" w:ascii="宋体" w:hAnsi="宋体" w:eastAsia="宋体" w:cs="宋体"/>
          <w:b w:val="0"/>
          <w:bCs w:val="0"/>
          <w:sz w:val="18"/>
          <w:szCs w:val="18"/>
          <w:highlight w:val="none"/>
          <w:lang w:val="en-US" w:eastAsia="zh-CN"/>
        </w:rPr>
        <w:t>https://inv-veri.chinatax.gov.cn）。若为虚假发票，做废标处理。</w:t>
      </w:r>
      <w:r>
        <w:rPr>
          <w:rFonts w:hint="eastAsia" w:ascii="宋体" w:hAnsi="宋体" w:eastAsia="宋体" w:cs="宋体"/>
          <w:b w:val="0"/>
          <w:bCs w:val="0"/>
          <w:color w:val="auto"/>
          <w:sz w:val="18"/>
          <w:szCs w:val="18"/>
          <w:highlight w:val="none"/>
          <w:lang w:val="en-US" w:eastAsia="zh-CN"/>
        </w:rPr>
        <w:fldChar w:fldCharType="end"/>
      </w:r>
    </w:p>
    <w:p>
      <w:pPr>
        <w:widowControl/>
        <w:jc w:val="center"/>
        <w:textAlignment w:val="center"/>
        <w:rPr>
          <w:rFonts w:hint="eastAsia" w:ascii="宋体" w:hAnsi="宋体" w:eastAsia="宋体" w:cs="宋体"/>
          <w:color w:val="auto"/>
          <w:kern w:val="0"/>
          <w:sz w:val="24"/>
          <w:szCs w:val="24"/>
          <w:highlight w:val="none"/>
          <w:lang w:bidi="ar"/>
        </w:rPr>
        <w:sectPr>
          <w:pgSz w:w="11911" w:h="16838"/>
          <w:pgMar w:top="1599" w:right="1179" w:bottom="1298" w:left="1100" w:header="0" w:footer="567" w:gutter="0"/>
          <w:cols w:space="720" w:num="1"/>
          <w:docGrid w:linePitch="1" w:charSpace="0"/>
        </w:sectPr>
      </w:pPr>
    </w:p>
    <w:p>
      <w:pPr>
        <w:pStyle w:val="2"/>
        <w:ind w:firstLine="0"/>
        <w:jc w:val="left"/>
        <w:rPr>
          <w:rFonts w:hint="eastAsia" w:ascii="宋体" w:hAnsi="宋体" w:eastAsia="宋体" w:cs="宋体"/>
          <w:color w:val="auto"/>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七</w:t>
      </w:r>
    </w:p>
    <w:tbl>
      <w:tblPr>
        <w:tblStyle w:val="6"/>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G5京昆高速公路绵阳至成都段扩容项目路面2标主体水稳、油面工程劳务合作项目</w:t>
            </w:r>
            <w:r>
              <w:rPr>
                <w:rFonts w:hint="eastAsia" w:ascii="宋体" w:hAnsi="宋体" w:cs="宋体"/>
                <w:b/>
                <w:bCs/>
                <w:color w:val="auto"/>
                <w:sz w:val="28"/>
                <w:szCs w:val="28"/>
                <w:highlight w:val="none"/>
                <w:lang w:val="en-US" w:eastAsia="zh-CN"/>
              </w:rPr>
              <w:t>CMLM2-5</w:t>
            </w:r>
            <w:r>
              <w:rPr>
                <w:rFonts w:hint="eastAsia" w:ascii="宋体" w:hAnsi="宋体" w:eastAsia="宋体" w:cs="宋体"/>
                <w:b/>
                <w:bCs/>
                <w:color w:val="auto"/>
                <w:sz w:val="28"/>
                <w:szCs w:val="28"/>
                <w:highlight w:val="none"/>
                <w:lang w:val="en-US" w:eastAsia="zh-CN"/>
              </w:rPr>
              <w:t>标段(油面队伍)</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w:t>
            </w:r>
          </w:p>
          <w:tbl>
            <w:tblPr>
              <w:tblStyle w:val="6"/>
              <w:tblpPr w:leftFromText="180" w:rightFromText="180" w:vertAnchor="text" w:horzAnchor="page" w:tblpXSpec="center" w:tblpY="462"/>
              <w:tblOverlap w:val="never"/>
              <w:tblW w:w="9525" w:type="dxa"/>
              <w:jc w:val="center"/>
              <w:tblLayout w:type="fixed"/>
              <w:tblCellMar>
                <w:top w:w="0" w:type="dxa"/>
                <w:left w:w="108" w:type="dxa"/>
                <w:bottom w:w="0" w:type="dxa"/>
                <w:right w:w="108" w:type="dxa"/>
              </w:tblCellMar>
            </w:tblPr>
            <w:tblGrid>
              <w:gridCol w:w="651"/>
              <w:gridCol w:w="2180"/>
              <w:gridCol w:w="617"/>
              <w:gridCol w:w="728"/>
              <w:gridCol w:w="728"/>
              <w:gridCol w:w="861"/>
              <w:gridCol w:w="705"/>
              <w:gridCol w:w="1119"/>
              <w:gridCol w:w="825"/>
              <w:gridCol w:w="1111"/>
            </w:tblGrid>
            <w:tr>
              <w:tblPrEx>
                <w:tblCellMar>
                  <w:top w:w="0" w:type="dxa"/>
                  <w:left w:w="108" w:type="dxa"/>
                  <w:bottom w:w="0" w:type="dxa"/>
                  <w:right w:w="108" w:type="dxa"/>
                </w:tblCellMar>
              </w:tblPrEx>
              <w:trPr>
                <w:trHeight w:val="344" w:hRule="atLeast"/>
                <w:jc w:val="center"/>
              </w:trPr>
              <w:tc>
                <w:tcPr>
                  <w:tcW w:w="651"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80" w:type="dxa"/>
                  <w:vMerge w:val="restart"/>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w:t>
                  </w:r>
                </w:p>
                <w:p>
                  <w:pPr>
                    <w:pStyle w:val="9"/>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1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规格、型号</w:t>
                  </w:r>
                </w:p>
              </w:tc>
              <w:tc>
                <w:tcPr>
                  <w:tcW w:w="728" w:type="dxa"/>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出厂日期</w:t>
                  </w:r>
                </w:p>
              </w:tc>
              <w:tc>
                <w:tcPr>
                  <w:tcW w:w="728"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w:t>
                  </w:r>
                </w:p>
              </w:tc>
              <w:tc>
                <w:tcPr>
                  <w:tcW w:w="15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highlight w:val="none"/>
                      <w:lang w:val="en-US" w:bidi="ar-SA"/>
                    </w:rPr>
                  </w:pPr>
                  <w:r>
                    <w:rPr>
                      <w:rFonts w:hint="eastAsia" w:ascii="宋体" w:hAnsi="宋体" w:eastAsia="宋体" w:cs="宋体"/>
                      <w:color w:val="auto"/>
                      <w:szCs w:val="21"/>
                      <w:highlight w:val="none"/>
                      <w:lang w:val="en-US" w:bidi="ar-SA"/>
                    </w:rPr>
                    <w:t>基本要求</w:t>
                  </w:r>
                </w:p>
              </w:tc>
              <w:tc>
                <w:tcPr>
                  <w:tcW w:w="1119"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每增加一台自有设备加分值</w:t>
                  </w:r>
                </w:p>
              </w:tc>
              <w:tc>
                <w:tcPr>
                  <w:tcW w:w="825" w:type="dxa"/>
                  <w:vMerge w:val="restart"/>
                  <w:tcBorders>
                    <w:top w:val="single" w:color="000000" w:sz="4" w:space="0"/>
                    <w:left w:val="single" w:color="000000" w:sz="4" w:space="0"/>
                    <w:right w:val="single" w:color="auto"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lang w:val="en-US" w:bidi="ar-SA"/>
                    </w:rPr>
                  </w:pPr>
                  <w:r>
                    <w:rPr>
                      <w:rFonts w:hint="eastAsia" w:ascii="宋体" w:hAnsi="宋体" w:eastAsia="宋体" w:cs="宋体"/>
                      <w:color w:val="auto"/>
                      <w:szCs w:val="21"/>
                      <w:highlight w:val="none"/>
                      <w:lang w:val="en-US" w:bidi="ar-SA"/>
                    </w:rPr>
                    <w:t>加分上限</w:t>
                  </w:r>
                </w:p>
              </w:tc>
              <w:tc>
                <w:tcPr>
                  <w:tcW w:w="1111" w:type="dxa"/>
                  <w:vMerge w:val="restart"/>
                  <w:tcBorders>
                    <w:top w:val="single" w:color="auto" w:sz="4" w:space="0"/>
                    <w:left w:val="single" w:color="auto" w:sz="4" w:space="0"/>
                    <w:right w:val="single" w:color="auto"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highlight w:val="none"/>
                      <w:lang w:val="en-US" w:bidi="ar-SA"/>
                    </w:rPr>
                  </w:pPr>
                  <w:r>
                    <w:rPr>
                      <w:rFonts w:hint="eastAsia" w:ascii="宋体" w:hAnsi="宋体" w:eastAsia="宋体" w:cs="宋体"/>
                      <w:color w:val="auto"/>
                      <w:szCs w:val="21"/>
                      <w:highlight w:val="none"/>
                      <w:lang w:val="en-US" w:bidi="ar-SA"/>
                    </w:rPr>
                    <w:t>备注</w:t>
                  </w:r>
                </w:p>
              </w:tc>
            </w:tr>
            <w:tr>
              <w:tblPrEx>
                <w:tblCellMar>
                  <w:top w:w="0" w:type="dxa"/>
                  <w:left w:w="108" w:type="dxa"/>
                  <w:bottom w:w="0" w:type="dxa"/>
                  <w:right w:w="108" w:type="dxa"/>
                </w:tblCellMar>
              </w:tblPrEx>
              <w:trPr>
                <w:trHeight w:val="361" w:hRule="atLeast"/>
                <w:jc w:val="center"/>
              </w:trPr>
              <w:tc>
                <w:tcPr>
                  <w:tcW w:w="65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218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61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728" w:type="dxa"/>
                  <w:tcBorders>
                    <w:left w:val="single" w:color="000000" w:sz="4" w:space="0"/>
                    <w:bottom w:val="single" w:color="auto" w:sz="4" w:space="0"/>
                    <w:right w:val="single" w:color="000000" w:sz="4" w:space="0"/>
                    <w:tl2br w:val="nil"/>
                    <w:tr2bl w:val="nil"/>
                  </w:tcBorders>
                  <w:vAlign w:val="center"/>
                </w:tcPr>
                <w:p>
                  <w:pPr>
                    <w:spacing w:line="440" w:lineRule="exact"/>
                    <w:jc w:val="both"/>
                    <w:rPr>
                      <w:rFonts w:hint="eastAsia" w:ascii="宋体" w:hAnsi="宋体" w:eastAsia="宋体" w:cs="宋体"/>
                      <w:color w:val="auto"/>
                      <w:szCs w:val="21"/>
                      <w:highlight w:val="none"/>
                    </w:rPr>
                  </w:pPr>
                </w:p>
              </w:tc>
              <w:tc>
                <w:tcPr>
                  <w:tcW w:w="72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Cs w:val="21"/>
                      <w:highlight w:val="none"/>
                    </w:rPr>
                  </w:pPr>
                </w:p>
              </w:tc>
              <w:tc>
                <w:tcPr>
                  <w:tcW w:w="8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highlight w:val="none"/>
                      <w:lang w:val="en-US" w:eastAsia="zh-CN" w:bidi="ar-SA"/>
                    </w:rPr>
                  </w:pPr>
                  <w:r>
                    <w:rPr>
                      <w:rFonts w:hint="eastAsia" w:ascii="宋体" w:hAnsi="宋体" w:eastAsia="宋体" w:cs="宋体"/>
                      <w:color w:val="auto"/>
                      <w:szCs w:val="21"/>
                      <w:highlight w:val="none"/>
                      <w:lang w:val="en-US" w:bidi="ar-SA"/>
                    </w:rPr>
                    <w:t>总数量</w:t>
                  </w:r>
                </w:p>
              </w:tc>
              <w:tc>
                <w:tcPr>
                  <w:tcW w:w="705" w:type="dxa"/>
                  <w:tcBorders>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highlight w:val="none"/>
                      <w:lang w:val="en-US" w:bidi="ar-SA"/>
                    </w:rPr>
                  </w:pPr>
                  <w:r>
                    <w:rPr>
                      <w:rFonts w:hint="eastAsia" w:ascii="宋体" w:hAnsi="宋体" w:eastAsia="宋体" w:cs="宋体"/>
                      <w:color w:val="auto"/>
                      <w:szCs w:val="21"/>
                      <w:highlight w:val="none"/>
                      <w:lang w:val="en-US" w:bidi="ar-SA"/>
                    </w:rPr>
                    <w:t>自有设备</w:t>
                  </w:r>
                </w:p>
              </w:tc>
              <w:tc>
                <w:tcPr>
                  <w:tcW w:w="111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c>
                <w:tcPr>
                  <w:tcW w:w="825" w:type="dxa"/>
                  <w:vMerge w:val="continue"/>
                  <w:tcBorders>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highlight w:val="none"/>
                    </w:rPr>
                  </w:pPr>
                </w:p>
              </w:tc>
            </w:tr>
            <w:tr>
              <w:trPr>
                <w:trHeight w:val="569"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福格勒直板摊铺机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360" w:lineRule="auto"/>
                    <w:jc w:val="left"/>
                    <w:rPr>
                      <w:rFonts w:hint="eastAsia" w:ascii="宋体" w:hAnsi="宋体" w:eastAsia="宋体" w:cs="宋体"/>
                      <w:bCs/>
                      <w:color w:val="auto"/>
                      <w:sz w:val="21"/>
                      <w:szCs w:val="21"/>
                      <w:highlight w:val="none"/>
                      <w:lang w:val="en-US" w:eastAsia="zh-CN"/>
                    </w:rPr>
                  </w:pPr>
                </w:p>
              </w:tc>
              <w:tc>
                <w:tcPr>
                  <w:tcW w:w="7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val="en-US" w:eastAsia="zh-CN"/>
                    </w:rPr>
                    <w:t>月后</w:t>
                  </w: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515"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戴纳派克或宝马格牌双钢轮振动压路机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13T</w:t>
                  </w: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i w:val="0"/>
                      <w:color w:val="000000"/>
                      <w:kern w:val="0"/>
                      <w:sz w:val="21"/>
                      <w:szCs w:val="21"/>
                      <w:u w:val="none"/>
                      <w:lang w:val="en-US" w:eastAsia="zh-CN" w:bidi="ar"/>
                    </w:rPr>
                    <w:t>胶轮压路机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i w:val="0"/>
                      <w:color w:val="000000"/>
                      <w:kern w:val="0"/>
                      <w:sz w:val="21"/>
                      <w:szCs w:val="21"/>
                      <w:u w:val="none"/>
                      <w:lang w:val="en-US" w:eastAsia="zh-CN" w:bidi="ar"/>
                    </w:rPr>
                    <w:t>26T</w:t>
                  </w: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酒井牌复式水平振荡压路机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bCs/>
                      <w:color w:val="auto"/>
                      <w:kern w:val="2"/>
                      <w:sz w:val="21"/>
                      <w:szCs w:val="21"/>
                      <w:highlight w:val="none"/>
                      <w:lang w:val="en-US" w:eastAsia="zh-CN" w:bidi="ar-SA"/>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kern w:val="2"/>
                      <w:sz w:val="21"/>
                      <w:szCs w:val="21"/>
                      <w:highlight w:val="none"/>
                      <w:lang w:val="en-US" w:eastAsia="zh-CN" w:bidi="ar-SA"/>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0.5</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cs="宋体"/>
                      <w:i w:val="0"/>
                      <w:color w:val="000000"/>
                      <w:kern w:val="0"/>
                      <w:sz w:val="21"/>
                      <w:szCs w:val="21"/>
                      <w:u w:val="none"/>
                      <w:lang w:val="en-US" w:eastAsia="zh-CN" w:bidi="ar"/>
                    </w:rPr>
                    <w:t>小</w:t>
                  </w:r>
                  <w:r>
                    <w:rPr>
                      <w:rFonts w:hint="eastAsia" w:ascii="宋体" w:hAnsi="宋体" w:eastAsia="宋体" w:cs="宋体"/>
                      <w:i w:val="0"/>
                      <w:color w:val="000000"/>
                      <w:kern w:val="0"/>
                      <w:sz w:val="21"/>
                      <w:szCs w:val="21"/>
                      <w:u w:val="none"/>
                      <w:lang w:val="en-US" w:eastAsia="zh-CN" w:bidi="ar"/>
                    </w:rPr>
                    <w:t>双钢轮</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i w:val="0"/>
                      <w:color w:val="000000"/>
                      <w:kern w:val="0"/>
                      <w:sz w:val="21"/>
                      <w:szCs w:val="21"/>
                      <w:u w:val="none"/>
                      <w:lang w:val="en-US" w:eastAsia="zh-CN" w:bidi="ar"/>
                    </w:rPr>
                    <w:t>1T</w:t>
                  </w: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539"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福格勒伸缩式摊铺机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干湿两用吸尘车</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装载机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50型</w:t>
                  </w: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清扫机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同步碎石撒布车</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default"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乳化沥青智能洒布车</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hint="eastAsia" w:ascii="宋体" w:hAnsi="宋体" w:eastAsia="宋体" w:cs="宋体"/>
                      <w:bCs/>
                      <w:color w:val="auto"/>
                      <w:sz w:val="21"/>
                      <w:szCs w:val="21"/>
                      <w:highlight w:val="none"/>
                      <w:lang w:val="en-US" w:eastAsia="zh-CN"/>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辆</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森林灭火器</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照明设备</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套</w:t>
                  </w:r>
                </w:p>
              </w:tc>
              <w:tc>
                <w:tcPr>
                  <w:tcW w:w="861"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both"/>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切割机</w:t>
                  </w:r>
                </w:p>
              </w:tc>
              <w:tc>
                <w:tcPr>
                  <w:tcW w:w="6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7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both"/>
                    <w:rPr>
                      <w:rFonts w:hint="eastAsia" w:ascii="宋体" w:hAnsi="宋体" w:eastAsia="宋体" w:cs="宋体"/>
                      <w:bCs/>
                      <w:color w:val="auto"/>
                      <w:kern w:val="2"/>
                      <w:sz w:val="21"/>
                      <w:szCs w:val="21"/>
                      <w:highlight w:val="none"/>
                      <w:lang w:val="en-US" w:eastAsia="zh-CN" w:bidi="ar-SA"/>
                    </w:rPr>
                  </w:pPr>
                </w:p>
              </w:tc>
              <w:tc>
                <w:tcPr>
                  <w:tcW w:w="728" w:type="dxa"/>
                  <w:tcBorders>
                    <w:top w:val="single" w:color="000000" w:sz="4" w:space="0"/>
                    <w:left w:val="single" w:color="auto"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台</w:t>
                  </w:r>
                </w:p>
              </w:tc>
              <w:tc>
                <w:tcPr>
                  <w:tcW w:w="861" w:type="dxa"/>
                  <w:tcBorders>
                    <w:top w:val="single" w:color="000000" w:sz="4" w:space="0"/>
                    <w:left w:val="single" w:color="000000"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rPr>
                  </w:pPr>
                </w:p>
              </w:tc>
              <w:tc>
                <w:tcPr>
                  <w:tcW w:w="1111"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highlight w:val="none"/>
                    </w:rPr>
                  </w:pPr>
                </w:p>
              </w:tc>
            </w:tr>
          </w:tbl>
          <w:p>
            <w:pPr>
              <w:keepNext w:val="0"/>
              <w:keepLines w:val="0"/>
              <w:widowControl/>
              <w:suppressLineNumbers w:val="0"/>
              <w:ind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i w:val="0"/>
                <w:color w:val="auto"/>
                <w:kern w:val="0"/>
                <w:sz w:val="28"/>
                <w:szCs w:val="28"/>
                <w:highlight w:val="none"/>
                <w:u w:val="none"/>
                <w:lang w:val="en-US" w:eastAsia="zh-CN" w:bidi="ar"/>
              </w:rPr>
              <w:t>(最低要求）</w:t>
            </w:r>
          </w:p>
        </w:tc>
      </w:tr>
    </w:tbl>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注：1、若监理工程师或</w:t>
      </w:r>
      <w:r>
        <w:rPr>
          <w:rFonts w:hint="eastAsia" w:ascii="宋体" w:hAnsi="宋体" w:eastAsia="宋体" w:cs="宋体"/>
          <w:color w:val="auto"/>
          <w:sz w:val="18"/>
          <w:szCs w:val="18"/>
          <w:highlight w:val="none"/>
          <w:lang w:val="en-US" w:eastAsia="zh-CN"/>
        </w:rPr>
        <w:t>招标</w:t>
      </w:r>
      <w:r>
        <w:rPr>
          <w:rFonts w:hint="eastAsia" w:ascii="宋体" w:hAnsi="宋体" w:eastAsia="宋体" w:cs="宋体"/>
          <w:color w:val="auto"/>
          <w:sz w:val="18"/>
          <w:szCs w:val="18"/>
          <w:highlight w:val="none"/>
        </w:rPr>
        <w:t>人认为投标人配备的机械设备不能满足现场施工的需要，或不能保证工程质量和进度时，</w:t>
      </w:r>
      <w:r>
        <w:rPr>
          <w:rFonts w:hint="eastAsia" w:ascii="宋体" w:hAnsi="宋体" w:eastAsia="宋体" w:cs="宋体"/>
          <w:color w:val="auto"/>
          <w:sz w:val="18"/>
          <w:szCs w:val="18"/>
          <w:highlight w:val="none"/>
          <w:lang w:val="en-US" w:eastAsia="zh-CN"/>
        </w:rPr>
        <w:t>招标</w:t>
      </w:r>
      <w:r>
        <w:rPr>
          <w:rFonts w:hint="eastAsia" w:ascii="宋体" w:hAnsi="宋体" w:eastAsia="宋体" w:cs="宋体"/>
          <w:color w:val="auto"/>
          <w:sz w:val="18"/>
          <w:szCs w:val="18"/>
          <w:highlight w:val="none"/>
        </w:rPr>
        <w:t>人有权要求投标人增加。</w:t>
      </w:r>
    </w:p>
    <w:p>
      <w:pPr>
        <w:widowControl/>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本表中的总数量为承包人中标后向发包人承诺的投入最低设备要求，并以书面形式纳入合同附件。</w:t>
      </w:r>
    </w:p>
    <w:p>
      <w:pPr>
        <w:rPr>
          <w:rFonts w:hint="eastAsia" w:ascii="宋体" w:hAnsi="宋体" w:eastAsia="宋体" w:cs="宋体"/>
        </w:rPr>
        <w:sectPr>
          <w:pgSz w:w="11911" w:h="16838"/>
          <w:pgMar w:top="1599" w:right="1179" w:bottom="1298" w:left="1100" w:header="0" w:footer="567" w:gutter="0"/>
          <w:cols w:space="720" w:num="1"/>
          <w:docGrid w:linePitch="1" w:charSpace="0"/>
        </w:sectPr>
      </w:pPr>
      <w:r>
        <w:rPr>
          <w:rFonts w:hint="eastAsia" w:ascii="宋体" w:hAnsi="宋体" w:eastAsia="宋体" w:cs="宋体"/>
          <w:b w:val="0"/>
          <w:bCs w:val="0"/>
          <w:color w:val="auto"/>
          <w:sz w:val="18"/>
          <w:szCs w:val="18"/>
          <w:highlight w:val="none"/>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https://inv-veri.chinatax.gov.cn）。若为虚假发票，做废标处理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rCxsIBAACO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uUxHGLEz9//3b+8ev88yt5&#10;nfXpA9SY9hgwMQ1v/YBbM/sBnZn2oKLNXyREMI5Qp4u6ckhE5Eer5WpVYUhgbL4gPnt6HiKkB+kt&#10;yUZDI46vqMqP7yGNqXNKrub8vTamjNC4vxyImT0s9z72mK007IaJ0M63J+TT4+Qb6nDRKTHvHAqL&#10;/aXZiLOxm4xcA8KbQ8LCpZ+MOkJNxXBMhdG0UnkP/ryXrKf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jqwsbCAQAAjgMAAA4AAAAAAAAAAQAgAAAAHgEAAGRycy9lMm9Eb2MueG1sUEsF&#10;BgAAAAAGAAYAWQEAAFI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ODU2ZjAzODEwMzdjYmJhNzQyYjk4YmE0MTUyZWUifQ=="/>
  </w:docVars>
  <w:rsids>
    <w:rsidRoot w:val="76DB4866"/>
    <w:rsid w:val="76DB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after="120" w:line="360" w:lineRule="auto"/>
      <w:outlineLvl w:val="0"/>
    </w:pPr>
    <w:rPr>
      <w:bCs/>
      <w:kern w:val="44"/>
      <w:sz w:val="36"/>
      <w:szCs w:val="36"/>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 w:type="paragraph" w:customStyle="1" w:styleId="9">
    <w:name w:val="Table Paragraph"/>
    <w:basedOn w:val="1"/>
    <w:qFormat/>
    <w:uiPriority w:val="99"/>
  </w:style>
  <w:style w:type="character" w:customStyle="1" w:styleId="10">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2022-11-29T07:23:00Z</dcterms:created>
  <dc:creator>souvenir</dc:creator>
  <cp:lastModifiedBy>souvenir</cp:lastModifiedBy>
  <dcterms:modified xsi:type="dcterms:W3CDTF">2022-11-29T07:24:33Z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0EE1F577BD2C4EBEB2EF65C47521FD54</vt:lpwstr>
  </property>
</Properties>
</file>