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山地轨道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项目临建工程、混凝土加工及运输劳务合作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工程段划分、工程规模、工期统计表</w:t>
      </w:r>
    </w:p>
    <w:tbl>
      <w:tblPr>
        <w:tblStyle w:val="12"/>
        <w:tblW w:w="553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54"/>
        <w:gridCol w:w="801"/>
        <w:gridCol w:w="1309"/>
        <w:gridCol w:w="1108"/>
        <w:gridCol w:w="10024"/>
        <w:gridCol w:w="13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工程范围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计划工期（月）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（包含但不限于以下内容）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天眉乐高速项目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K20+429-K29+022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土石方、场地硬化、排水、料仓、围墙工程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防护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、拌合站外便道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工程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总方量为：36.7万方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1、本次招标工程数量和施工段落划分根据初步设计图纸暂定，待施工图批复后确定最终的施工段落、工程数量。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2、以上工期为暂定工期，实际开工时间以招标人标段项目部通知为准，若业主、招标人在施工过程中要求缩短工期，中标人应无条件配合。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K29+022-K39+696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房屋基础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沉淀池、地磅基础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：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34.5万方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K39+696-K5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140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房屋基础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设备基础、水泥罐基础、沉淀池、蓄水池、地磅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：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29.9万方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TJ6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-2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K51+775-K65+295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1、拌合站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（包含试验室）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临建工程：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土石方、场地硬化、排水、料仓、围墙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房屋基础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default"/>
                <w:color w:val="auto"/>
                <w:sz w:val="20"/>
                <w:szCs w:val="21"/>
                <w:lang w:eastAsia="zh-CN"/>
              </w:rPr>
              <w:t>设备基础、水泥罐基础、沉淀池、蓄水池、打井及抽水、地磅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拌合站的设备提供、安拆、调试及维护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混凝土的拌和并运输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总方量为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：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lang w:val="en-US" w:eastAsia="zh-CN" w:bidi="ar"/>
              </w:rPr>
              <w:t>20.4万方</w:t>
            </w:r>
            <w:r>
              <w:rPr>
                <w:rFonts w:hint="eastAsia"/>
                <w:color w:val="auto"/>
                <w:sz w:val="20"/>
                <w:szCs w:val="21"/>
                <w:lang w:val="en-US" w:eastAsia="zh-CN"/>
              </w:rPr>
              <w:t>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山地轨道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DSZH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D1K71+685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D1K86+258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范围内砼拌和运输。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6</w:t>
            </w:r>
          </w:p>
        </w:tc>
        <w:tc>
          <w:tcPr>
            <w:tcW w:w="1001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</w:pP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1、拌合站的设备提供、安拆、调试及维护等。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auto"/>
                <w:kern w:val="2"/>
                <w:sz w:val="20"/>
                <w:szCs w:val="21"/>
                <w:lang w:eastAsia="zh-CN" w:bidi="ar"/>
              </w:rPr>
              <w:t>2、混凝土的拌和并运输总方量为：36万方（含喷射混凝土5.3万方）。喷射混凝土拌合任务待定，应根据甲方施工组织情况确定是否由乙方负责实施。</w:t>
            </w: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（TJ3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12"/>
        <w:tblW w:w="498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03"/>
        <w:gridCol w:w="1316"/>
        <w:gridCol w:w="638"/>
        <w:gridCol w:w="638"/>
        <w:gridCol w:w="746"/>
        <w:gridCol w:w="942"/>
        <w:gridCol w:w="644"/>
        <w:gridCol w:w="23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47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884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683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33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71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48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334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211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47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混凝土拌合机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180型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燃油混凝土运输车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电动装载机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电动混凝土运输车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地磅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0t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/16m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ZL50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自卸车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双桥车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400KW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压路机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25T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洒水车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left="0" w:leftChars="0" w:firstLine="361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（TJ4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12"/>
        <w:tblW w:w="9658" w:type="dxa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693"/>
        <w:gridCol w:w="1511"/>
        <w:gridCol w:w="672"/>
        <w:gridCol w:w="643"/>
        <w:gridCol w:w="732"/>
        <w:gridCol w:w="903"/>
        <w:gridCol w:w="809"/>
        <w:gridCol w:w="21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21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8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燃油混凝土运输车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8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电动混凝土运输车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挖掘机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装载机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ZL50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自卸车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双桥车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发电机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400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压路机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洒水车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left="0" w:leftChars="0" w:firstLine="361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</w:p>
    <w:p>
      <w:pPr>
        <w:rPr>
          <w:rFonts w:hint="eastAsia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5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12"/>
        <w:tblW w:w="499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20"/>
        <w:gridCol w:w="1464"/>
        <w:gridCol w:w="638"/>
        <w:gridCol w:w="638"/>
        <w:gridCol w:w="746"/>
        <w:gridCol w:w="943"/>
        <w:gridCol w:w="642"/>
        <w:gridCol w:w="23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840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75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33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718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48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333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211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燃油混凝土运输车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电动混凝土运输车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5" w:type="pc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地磅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0t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/16m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ZL50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自卸车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双桥车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400KW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压路机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25T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2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洒水车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left="0" w:leftChars="0" w:firstLine="361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（TJ6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12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640"/>
        <w:gridCol w:w="1474"/>
        <w:gridCol w:w="642"/>
        <w:gridCol w:w="643"/>
        <w:gridCol w:w="585"/>
        <w:gridCol w:w="1516"/>
        <w:gridCol w:w="635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tblHeader/>
        </w:trPr>
        <w:tc>
          <w:tcPr>
            <w:tcW w:w="586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164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147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64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151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63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937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8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燃油混凝土运输车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电动混凝土运输车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临建设备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ZL50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自卸车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双桥车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400KW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压路机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25T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洒水车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天眉乐高速项目、都四山地轨道项目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临建工程、混凝土加工及运输劳务合作拟投入设备配置表(最低配置要求）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DSZH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tbl>
      <w:tblPr>
        <w:tblStyle w:val="12"/>
        <w:tblW w:w="498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897"/>
        <w:gridCol w:w="1310"/>
        <w:gridCol w:w="634"/>
        <w:gridCol w:w="636"/>
        <w:gridCol w:w="586"/>
        <w:gridCol w:w="1158"/>
        <w:gridCol w:w="722"/>
        <w:gridCol w:w="2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9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机械设备名称</w:t>
            </w:r>
          </w:p>
        </w:tc>
        <w:tc>
          <w:tcPr>
            <w:tcW w:w="68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规格、型号</w:t>
            </w:r>
          </w:p>
        </w:tc>
        <w:tc>
          <w:tcPr>
            <w:tcW w:w="3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基本要求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每增加一台自有设备加分值</w:t>
            </w:r>
          </w:p>
        </w:tc>
        <w:tc>
          <w:tcPr>
            <w:tcW w:w="37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加分上限</w:t>
            </w:r>
          </w:p>
        </w:tc>
        <w:tc>
          <w:tcPr>
            <w:tcW w:w="114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总数量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自有设备</w:t>
            </w:r>
          </w:p>
        </w:tc>
        <w:tc>
          <w:tcPr>
            <w:tcW w:w="6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2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2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混凝土拌合机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2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燃油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混凝土运输车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10m3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2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混凝土运输车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必须采用比亚迪品牌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2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电动装载机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必须采用山推品牌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（其中湿喷站1台）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2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地磅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0t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/16m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" w:firstLineChars="200"/>
        <w:jc w:val="both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</w:p>
    <w:p>
      <w:pPr>
        <w:pStyle w:val="15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</w:p>
    <w:p>
      <w:pPr>
        <w:pStyle w:val="15"/>
        <w:numPr>
          <w:ilvl w:val="0"/>
          <w:numId w:val="0"/>
        </w:numPr>
        <w:tabs>
          <w:tab w:val="right" w:leader="dot" w:pos="8306"/>
        </w:tabs>
        <w:ind w:left="0"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bidi="zh-CN"/>
        </w:rPr>
      </w:pPr>
    </w:p>
    <w:p>
      <w:pPr>
        <w:rPr>
          <w:rFonts w:hint="eastAsia"/>
        </w:rPr>
      </w:pPr>
    </w:p>
    <w:p>
      <w:pPr>
        <w:rPr>
          <w:highlight w:val="none"/>
        </w:rPr>
      </w:pPr>
    </w:p>
    <w:sectPr>
      <w:pgSz w:w="11906" w:h="16838"/>
      <w:pgMar w:top="1134" w:right="1236" w:bottom="1134" w:left="123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DF47488"/>
    <w:rsid w:val="00963C41"/>
    <w:rsid w:val="04451A44"/>
    <w:rsid w:val="084F2744"/>
    <w:rsid w:val="0A51029C"/>
    <w:rsid w:val="0B2D79F3"/>
    <w:rsid w:val="0DF47488"/>
    <w:rsid w:val="10A01648"/>
    <w:rsid w:val="10F9519F"/>
    <w:rsid w:val="17714F86"/>
    <w:rsid w:val="1EAC07D7"/>
    <w:rsid w:val="1FBBDC62"/>
    <w:rsid w:val="21AD61C0"/>
    <w:rsid w:val="23B07603"/>
    <w:rsid w:val="25C02440"/>
    <w:rsid w:val="25F0369F"/>
    <w:rsid w:val="27C94D85"/>
    <w:rsid w:val="2828479E"/>
    <w:rsid w:val="2A0B598A"/>
    <w:rsid w:val="2FC45338"/>
    <w:rsid w:val="2FF05D14"/>
    <w:rsid w:val="313F372D"/>
    <w:rsid w:val="31FB3AF8"/>
    <w:rsid w:val="35A523A4"/>
    <w:rsid w:val="3A257964"/>
    <w:rsid w:val="3C20593B"/>
    <w:rsid w:val="3ECF1BAB"/>
    <w:rsid w:val="41874A60"/>
    <w:rsid w:val="439C3086"/>
    <w:rsid w:val="4A744ADC"/>
    <w:rsid w:val="4E030E09"/>
    <w:rsid w:val="548473BC"/>
    <w:rsid w:val="562E7B0D"/>
    <w:rsid w:val="56913258"/>
    <w:rsid w:val="5BE161C7"/>
    <w:rsid w:val="5F3B34FB"/>
    <w:rsid w:val="6F1E6154"/>
    <w:rsid w:val="754C44B1"/>
    <w:rsid w:val="7F7EE6CA"/>
    <w:rsid w:val="7FFE147B"/>
    <w:rsid w:val="979BDB86"/>
    <w:rsid w:val="C5BD0783"/>
    <w:rsid w:val="EA0F062A"/>
    <w:rsid w:val="F1B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5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character" w:styleId="14">
    <w:name w:val="Strong"/>
    <w:qFormat/>
    <w:uiPriority w:val="0"/>
    <w:rPr>
      <w:rFonts w:cs="Times New Roman"/>
      <w:b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7">
    <w:name w:val="font71"/>
    <w:basedOn w:val="1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8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3512</Words>
  <Characters>3965</Characters>
  <Lines>0</Lines>
  <Paragraphs>0</Paragraphs>
  <TotalTime>6</TotalTime>
  <ScaleCrop>false</ScaleCrop>
  <LinksUpToDate>false</LinksUpToDate>
  <CharactersWithSpaces>4005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2021-10-07T09:14:00Z</dcterms:created>
  <dc:creator>热心网友</dc:creator>
  <cp:lastModifiedBy>Sensual</cp:lastModifiedBy>
  <cp:lastPrinted>2022-01-29T11:52:00Z</cp:lastPrinted>
  <dcterms:modified xsi:type="dcterms:W3CDTF">2022-11-21T09:05:21Z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8CF358D363F641A2809181D28C909049</vt:lpwstr>
  </property>
</Properties>
</file>