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14" w:name="_GoBack"/>
      <w:bookmarkEnd w:id="14"/>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2022年G0512线成都至乐山高速公路扩容建设E2-SG2项目</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路面透层、粘层、封层工程劳务合作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yellow"/>
        </w:rPr>
      </w:pPr>
      <w:bookmarkStart w:id="2" w:name="_Toc22287"/>
      <w:bookmarkStart w:id="3" w:name="_Toc20280_WPSOffice_Level1"/>
    </w:p>
    <w:p>
      <w:pPr>
        <w:pStyle w:val="2"/>
        <w:jc w:val="left"/>
        <w:rPr>
          <w:rFonts w:hint="eastAsia" w:ascii="宋体" w:hAnsi="宋体" w:eastAsia="宋体" w:cs="宋体"/>
          <w:b/>
          <w:color w:val="auto"/>
          <w:sz w:val="28"/>
          <w:szCs w:val="28"/>
          <w:highlight w:val="yellow"/>
        </w:rPr>
      </w:pPr>
    </w:p>
    <w:tbl>
      <w:tblPr>
        <w:tblStyle w:val="25"/>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改扩建K120+780-K128+561段、城区过境复线新建段LK1+536-LK10+012及沿线互通</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16.26</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路面</w:t>
            </w:r>
            <w:r>
              <w:rPr>
                <w:rFonts w:hint="eastAsia" w:ascii="宋体" w:hAnsi="宋体" w:cs="宋体"/>
                <w:color w:val="auto"/>
                <w:kern w:val="0"/>
                <w:sz w:val="18"/>
                <w:szCs w:val="18"/>
                <w:highlight w:val="none"/>
                <w:lang w:val="en-US" w:eastAsia="zh-CN" w:bidi="ar"/>
              </w:rPr>
              <w:t>透层、粘层、同步碎石封层施工</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120</w:t>
            </w:r>
          </w:p>
        </w:tc>
      </w:tr>
    </w:tbl>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rPr>
          <w:rFonts w:hint="eastAsia" w:ascii="宋体" w:hAnsi="宋体" w:eastAsia="宋体" w:cs="宋体"/>
          <w:b/>
          <w:color w:val="auto"/>
          <w:sz w:val="28"/>
          <w:szCs w:val="28"/>
          <w:highlight w:val="yellow"/>
        </w:rPr>
      </w:pPr>
    </w:p>
    <w:p>
      <w:pPr>
        <w:pStyle w:val="13"/>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tabs>
          <w:tab w:val="left" w:pos="416"/>
        </w:tabs>
        <w:autoSpaceDE w:val="0"/>
        <w:autoSpaceDN w:val="0"/>
        <w:spacing w:before="122" w:line="36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2022年G0512线成都至乐山高速公路扩容建设</w:t>
      </w:r>
    </w:p>
    <w:p>
      <w:pPr>
        <w:tabs>
          <w:tab w:val="left" w:pos="416"/>
        </w:tabs>
        <w:autoSpaceDE w:val="0"/>
        <w:autoSpaceDN w:val="0"/>
        <w:spacing w:before="122" w:line="36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E2-SG2项目路面透层、粘层、封层工程劳务合作施工企业</w:t>
      </w:r>
    </w:p>
    <w:p>
      <w:pPr>
        <w:tabs>
          <w:tab w:val="left" w:pos="416"/>
        </w:tabs>
        <w:autoSpaceDE w:val="0"/>
        <w:autoSpaceDN w:val="0"/>
        <w:spacing w:before="122" w:line="360" w:lineRule="auto"/>
        <w:ind w:left="100"/>
        <w:jc w:val="cente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资质等级要求、业绩基本要求</w:t>
      </w:r>
    </w:p>
    <w:tbl>
      <w:tblPr>
        <w:tblStyle w:val="25"/>
        <w:tblW w:w="9919" w:type="dxa"/>
        <w:tblInd w:w="0" w:type="dxa"/>
        <w:tblLayout w:type="fixed"/>
        <w:tblCellMar>
          <w:top w:w="0" w:type="dxa"/>
          <w:left w:w="0" w:type="dxa"/>
          <w:bottom w:w="0" w:type="dxa"/>
          <w:right w:w="0" w:type="dxa"/>
        </w:tblCellMar>
      </w:tblPr>
      <w:tblGrid>
        <w:gridCol w:w="528"/>
        <w:gridCol w:w="615"/>
        <w:gridCol w:w="3690"/>
        <w:gridCol w:w="3974"/>
        <w:gridCol w:w="1112"/>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shd w:val="clear" w:color="auto" w:fill="auto"/>
                <w:lang w:val="zh-CN" w:eastAsia="zh-CN" w:bidi="zh-CN"/>
              </w:rPr>
              <w:t>施工劳务资质或公路工程施工总承包三级及以上资质</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w:t>
            </w:r>
            <w:r>
              <w:rPr>
                <w:rFonts w:hint="eastAsia" w:ascii="宋体" w:hAnsi="宋体" w:cs="宋体"/>
                <w:color w:val="auto"/>
                <w:kern w:val="0"/>
                <w:sz w:val="18"/>
                <w:szCs w:val="18"/>
                <w:highlight w:val="none"/>
                <w:shd w:val="clear" w:color="auto" w:fill="auto"/>
                <w:lang w:val="en-US" w:eastAsia="zh-CN" w:bidi="ar"/>
              </w:rPr>
              <w:t>19</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1个（在建或完工）高速公路路面透层、粘层、同步碎石封层工程施工业绩（以合同签订时间为准）。</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rPr>
          <w:rFonts w:hint="default"/>
          <w:lang w:val="en-US" w:eastAsia="zh-CN"/>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5"/>
        <w:tblpPr w:leftFromText="180" w:rightFromText="180" w:vertAnchor="text" w:tblpX="1"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2022年G0512线成都至乐山高速公路扩容建设</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E2-SG2项目路面透层、粘层、封层工程劳务合作标段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拟投入人员配置表(最低要求）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sz w:val="18"/>
                <w:szCs w:val="18"/>
                <w:highlight w:val="none"/>
                <w:lang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highlight w:val="none"/>
              </w:rPr>
              <w:t>持主管部门颁发的安全</w:t>
            </w:r>
            <w:r>
              <w:rPr>
                <w:rFonts w:ascii="宋体" w:hAnsi="宋体" w:cs="宋体"/>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现场安全管理工作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sz w:val="20"/>
                <w:szCs w:val="20"/>
                <w:highlight w:val="none"/>
                <w:u w:val="none"/>
                <w:lang w:eastAsia="zh-CN"/>
              </w:rPr>
              <w:t>具</w:t>
            </w:r>
            <w:r>
              <w:rPr>
                <w:rFonts w:hint="eastAsia" w:ascii="宋体" w:hAnsi="宋体" w:cs="宋体"/>
                <w:b w:val="0"/>
                <w:bCs w:val="0"/>
                <w:sz w:val="18"/>
                <w:szCs w:val="18"/>
                <w:highlight w:val="none"/>
              </w:rPr>
              <w:t>持主管部门颁发的安全</w:t>
            </w:r>
            <w:r>
              <w:rPr>
                <w:rFonts w:ascii="宋体" w:hAnsi="宋体" w:cs="宋体"/>
                <w:b w:val="0"/>
                <w:bCs w:val="0"/>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协助项目技术负责人负责现场进度、质量工作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yellow"/>
        </w:rPr>
      </w:pPr>
      <w:r>
        <w:rPr>
          <w:rFonts w:hint="eastAsia" w:ascii="宋体" w:hAnsi="宋体" w:eastAsia="宋体" w:cs="宋体"/>
          <w:b/>
          <w:color w:val="auto"/>
          <w:sz w:val="28"/>
          <w:szCs w:val="28"/>
          <w:highlight w:val="yellow"/>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2022年G0512线成都至乐山高速公路扩容建设</w:t>
            </w:r>
          </w:p>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E2-SG2项目路面透层、粘层、封层工程劳务合作</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拟投入设备明细表(最低要求）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5"/>
              <w:tblpPr w:leftFromText="180" w:rightFromText="180" w:vertAnchor="text" w:horzAnchor="page" w:tblpXSpec="center" w:tblpY="-2073"/>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816"/>
              <w:gridCol w:w="885"/>
              <w:gridCol w:w="750"/>
              <w:gridCol w:w="915"/>
              <w:gridCol w:w="930"/>
              <w:gridCol w:w="951"/>
              <w:gridCol w:w="826"/>
              <w:gridCol w:w="105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restart"/>
                  <w:tcBorders>
                    <w:top w:val="single" w:color="auto" w:sz="4" w:space="0"/>
                    <w:left w:val="single" w:color="000000"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序号</w:t>
                  </w:r>
                </w:p>
              </w:tc>
              <w:tc>
                <w:tcPr>
                  <w:tcW w:w="18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rPr>
                  </w:pPr>
                  <w:r>
                    <w:rPr>
                      <w:rFonts w:hint="eastAsia"/>
                      <w:highlight w:val="none"/>
                    </w:rPr>
                    <w:t>机械设备名称</w:t>
                  </w:r>
                </w:p>
              </w:tc>
              <w:tc>
                <w:tcPr>
                  <w:tcW w:w="88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规格、型号</w:t>
                  </w:r>
                </w:p>
              </w:tc>
              <w:tc>
                <w:tcPr>
                  <w:tcW w:w="7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rPr>
                  </w:pPr>
                  <w:r>
                    <w:rPr>
                      <w:rFonts w:hint="eastAsia"/>
                      <w:highlight w:val="none"/>
                      <w:lang w:eastAsia="zh-CN"/>
                    </w:rPr>
                    <w:t>单位</w:t>
                  </w:r>
                </w:p>
              </w:tc>
              <w:tc>
                <w:tcPr>
                  <w:tcW w:w="1845" w:type="dxa"/>
                  <w:gridSpan w:val="2"/>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eastAsia="宋体"/>
                      <w:highlight w:val="none"/>
                      <w:lang w:val="en-US" w:eastAsia="zh-CN"/>
                    </w:rPr>
                  </w:pPr>
                  <w:r>
                    <w:rPr>
                      <w:rFonts w:hint="eastAsia"/>
                      <w:highlight w:val="none"/>
                      <w:lang w:val="en-US" w:eastAsia="zh-CN"/>
                    </w:rPr>
                    <w:t>基本要求数量</w:t>
                  </w:r>
                </w:p>
              </w:tc>
              <w:tc>
                <w:tcPr>
                  <w:tcW w:w="951"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每增加一台自有设备加分值</w:t>
                  </w:r>
                </w:p>
              </w:tc>
              <w:tc>
                <w:tcPr>
                  <w:tcW w:w="82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加分上限</w:t>
                  </w:r>
                </w:p>
              </w:tc>
              <w:tc>
                <w:tcPr>
                  <w:tcW w:w="1059"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tc>
              <w:tc>
                <w:tcPr>
                  <w:tcW w:w="93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continue"/>
                  <w:tcBorders>
                    <w:left w:val="single" w:color="000000"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1816"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885"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750"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915"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u w:val="none"/>
                      <w:lang w:val="en-US" w:eastAsia="zh-CN" w:bidi="ar"/>
                    </w:rPr>
                    <w:t>总数量</w:t>
                  </w:r>
                </w:p>
              </w:tc>
              <w:tc>
                <w:tcPr>
                  <w:tcW w:w="930"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lang w:val="en-US" w:eastAsia="zh-CN"/>
                    </w:rPr>
                    <w:t>自有设备数量</w:t>
                  </w:r>
                </w:p>
              </w:tc>
              <w:tc>
                <w:tcPr>
                  <w:tcW w:w="951"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826"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1059"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938"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s="Times New Roman"/>
                      <w:color w:val="000000" w:themeColor="text1"/>
                      <w:kern w:val="2"/>
                      <w:sz w:val="21"/>
                      <w:szCs w:val="22"/>
                      <w:highlight w:val="none"/>
                      <w:lang w:val="en-US" w:eastAsia="zh-CN" w:bidi="ar-SA"/>
                      <w14:textFill>
                        <w14:solidFill>
                          <w14:schemeClr w14:val="tx1"/>
                        </w14:solidFill>
                      </w14:textFill>
                    </w:rPr>
                    <w:t>1</w:t>
                  </w:r>
                </w:p>
              </w:tc>
              <w:tc>
                <w:tcPr>
                  <w:tcW w:w="1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乳化沥青洒布车</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s="Times New Roman"/>
                      <w:color w:val="000000" w:themeColor="text1"/>
                      <w:kern w:val="2"/>
                      <w:sz w:val="21"/>
                      <w:szCs w:val="22"/>
                      <w:highlight w:val="none"/>
                      <w:lang w:val="en-US" w:eastAsia="zh-CN" w:bidi="ar-SA"/>
                      <w14:textFill>
                        <w14:solidFill>
                          <w14:schemeClr w14:val="tx1"/>
                        </w14:solidFill>
                      </w14:textFill>
                    </w:rPr>
                    <w:t>辆</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1</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0.5</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0.5</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2018年1月后</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4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s="Times New Roman"/>
                      <w:color w:val="000000" w:themeColor="text1"/>
                      <w:kern w:val="2"/>
                      <w:sz w:val="21"/>
                      <w:szCs w:val="22"/>
                      <w:highlight w:val="none"/>
                      <w:lang w:val="en-US" w:eastAsia="zh-CN" w:bidi="ar-SA"/>
                      <w14:textFill>
                        <w14:solidFill>
                          <w14:schemeClr w14:val="tx1"/>
                        </w14:solidFill>
                      </w14:textFill>
                    </w:rPr>
                    <w:t>2</w:t>
                  </w:r>
                </w:p>
              </w:tc>
              <w:tc>
                <w:tcPr>
                  <w:tcW w:w="181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装载机</w:t>
                  </w:r>
                </w:p>
              </w:tc>
              <w:tc>
                <w:tcPr>
                  <w:tcW w:w="885"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c>
                <w:tcPr>
                  <w:tcW w:w="750"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s="Times New Roman"/>
                      <w:color w:val="000000" w:themeColor="text1"/>
                      <w:kern w:val="2"/>
                      <w:sz w:val="21"/>
                      <w:szCs w:val="22"/>
                      <w:highlight w:val="none"/>
                      <w:lang w:val="en-US" w:eastAsia="zh-CN" w:bidi="ar-SA"/>
                      <w14:textFill>
                        <w14:solidFill>
                          <w14:schemeClr w14:val="tx1"/>
                        </w14:solidFill>
                      </w14:textFill>
                    </w:rPr>
                    <w:t>台</w:t>
                  </w:r>
                </w:p>
              </w:tc>
              <w:tc>
                <w:tcPr>
                  <w:tcW w:w="91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1</w:t>
                  </w:r>
                </w:p>
              </w:tc>
              <w:tc>
                <w:tcPr>
                  <w:tcW w:w="93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w:t>
                  </w:r>
                </w:p>
              </w:tc>
              <w:tc>
                <w:tcPr>
                  <w:tcW w:w="951"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0.5</w:t>
                  </w:r>
                </w:p>
              </w:tc>
              <w:tc>
                <w:tcPr>
                  <w:tcW w:w="826" w:type="dxa"/>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0.5</w:t>
                  </w:r>
                </w:p>
              </w:tc>
              <w:tc>
                <w:tcPr>
                  <w:tcW w:w="105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s="Times New Roman"/>
                      <w:color w:val="000000" w:themeColor="text1"/>
                      <w:kern w:val="2"/>
                      <w:sz w:val="21"/>
                      <w:szCs w:val="22"/>
                      <w:highlight w:val="none"/>
                      <w:lang w:val="en-US" w:eastAsia="zh-CN" w:bidi="ar-SA"/>
                      <w14:textFill>
                        <w14:solidFill>
                          <w14:schemeClr w14:val="tx1"/>
                        </w14:solidFill>
                      </w14:textFill>
                    </w:rPr>
                    <w:t>3</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同步碎石封层车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826"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50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p>
              </w:tc>
              <w:tc>
                <w:tcPr>
                  <w:tcW w:w="105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4</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运输车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lang w:val="en-US" w:eastAsia="zh-CN"/>
              </w:rPr>
            </w:pPr>
            <w:r>
              <w:rPr>
                <w:rFonts w:hint="eastAsia"/>
                <w:highlight w:val="none"/>
                <w:lang w:val="en-US" w:eastAsia="zh-CN"/>
              </w:rPr>
              <w:t>注：1、若监理工程师或招标人认为投标人配备的机械设备不能满足现场施工的需要，或不能保证工程质量和进度时，招标人有权要求投标人增加。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ascii="宋体" w:hAnsi="宋体" w:eastAsia="宋体" w:cs="宋体"/>
                <w:b/>
                <w:bCs/>
                <w:i w:val="0"/>
                <w:iCs w:val="0"/>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p>
            <w:pPr>
              <w:pStyle w:val="2"/>
              <w:rPr>
                <w:rFonts w:hint="eastAsia"/>
                <w:highlight w:val="none"/>
                <w:lang w:val="en-US" w:eastAsia="zh-CN"/>
              </w:rPr>
            </w:pPr>
          </w:p>
        </w:tc>
      </w:tr>
      <w:bookmarkEnd w:id="0"/>
      <w:bookmarkEnd w:id="1"/>
      <w:bookmarkEnd w:id="2"/>
      <w:bookmarkEnd w:id="3"/>
    </w:tbl>
    <w:p>
      <w:pPr>
        <w:pStyle w:val="2"/>
        <w:ind w:left="0" w:leftChars="0" w:firstLine="400" w:firstLineChars="200"/>
        <w:rPr>
          <w:highlight w:val="none"/>
        </w:rPr>
      </w:pPr>
      <w:bookmarkStart w:id="4" w:name="_Toc17729"/>
      <w:bookmarkStart w:id="5" w:name="_Toc24429"/>
      <w:bookmarkStart w:id="6" w:name="_Toc3099"/>
      <w:bookmarkStart w:id="7" w:name="_Toc16878"/>
      <w:bookmarkStart w:id="8" w:name="_Toc21122_WPSOffice_Level1"/>
      <w:bookmarkStart w:id="9" w:name="_Toc12289"/>
      <w:bookmarkStart w:id="10" w:name="_Toc16341"/>
      <w:bookmarkStart w:id="11" w:name="_Toc29595"/>
      <w:bookmarkStart w:id="12" w:name="_Toc32235"/>
      <w:bookmarkStart w:id="13" w:name="_Toc30112_WPSOffice_Level1"/>
      <w:r>
        <w:rPr>
          <w:rFonts w:hint="eastAsia"/>
          <w:highlight w:val="none"/>
        </w:rPr>
        <w:tab/>
      </w:r>
      <w:bookmarkEnd w:id="4"/>
      <w:bookmarkEnd w:id="5"/>
      <w:bookmarkEnd w:id="6"/>
      <w:bookmarkEnd w:id="7"/>
      <w:bookmarkEnd w:id="8"/>
      <w:bookmarkEnd w:id="9"/>
      <w:bookmarkEnd w:id="10"/>
      <w:bookmarkEnd w:id="11"/>
      <w:bookmarkEnd w:id="12"/>
      <w:bookmarkEnd w:id="13"/>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B56E2"/>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D5935"/>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85957"/>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319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161E96"/>
    <w:rsid w:val="01282F9C"/>
    <w:rsid w:val="013E00ED"/>
    <w:rsid w:val="01515F35"/>
    <w:rsid w:val="015E6713"/>
    <w:rsid w:val="015E6A95"/>
    <w:rsid w:val="01C91FF6"/>
    <w:rsid w:val="020C08DA"/>
    <w:rsid w:val="02234285"/>
    <w:rsid w:val="02293F6E"/>
    <w:rsid w:val="025F1F8A"/>
    <w:rsid w:val="02821422"/>
    <w:rsid w:val="034278EB"/>
    <w:rsid w:val="034362AF"/>
    <w:rsid w:val="036478D0"/>
    <w:rsid w:val="03722D3D"/>
    <w:rsid w:val="03EF34BA"/>
    <w:rsid w:val="03F1316B"/>
    <w:rsid w:val="04071455"/>
    <w:rsid w:val="04141433"/>
    <w:rsid w:val="043A09CE"/>
    <w:rsid w:val="04875E2C"/>
    <w:rsid w:val="04964555"/>
    <w:rsid w:val="04CB6A7F"/>
    <w:rsid w:val="04E9686E"/>
    <w:rsid w:val="050D4A7D"/>
    <w:rsid w:val="051677EF"/>
    <w:rsid w:val="051A52E2"/>
    <w:rsid w:val="053605D3"/>
    <w:rsid w:val="05432625"/>
    <w:rsid w:val="057B26D7"/>
    <w:rsid w:val="059277A1"/>
    <w:rsid w:val="05950823"/>
    <w:rsid w:val="05976EB7"/>
    <w:rsid w:val="05AE3F52"/>
    <w:rsid w:val="05B4006A"/>
    <w:rsid w:val="05C41E3E"/>
    <w:rsid w:val="05CA6B61"/>
    <w:rsid w:val="05D42EBD"/>
    <w:rsid w:val="05DE56DE"/>
    <w:rsid w:val="05EF79DE"/>
    <w:rsid w:val="05F90419"/>
    <w:rsid w:val="06081FC2"/>
    <w:rsid w:val="061D1807"/>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9342B"/>
    <w:rsid w:val="07DB2932"/>
    <w:rsid w:val="081C6B1F"/>
    <w:rsid w:val="0870272B"/>
    <w:rsid w:val="0871052C"/>
    <w:rsid w:val="08BD6632"/>
    <w:rsid w:val="08E163AA"/>
    <w:rsid w:val="08F475C4"/>
    <w:rsid w:val="090E4678"/>
    <w:rsid w:val="09223BDF"/>
    <w:rsid w:val="09273365"/>
    <w:rsid w:val="094602D0"/>
    <w:rsid w:val="095F1405"/>
    <w:rsid w:val="098149B8"/>
    <w:rsid w:val="09AB61F4"/>
    <w:rsid w:val="09BC4DF4"/>
    <w:rsid w:val="09CA7E3E"/>
    <w:rsid w:val="09EC0230"/>
    <w:rsid w:val="09F909D7"/>
    <w:rsid w:val="09F96C7D"/>
    <w:rsid w:val="0A0C6F4E"/>
    <w:rsid w:val="0A133C01"/>
    <w:rsid w:val="0A155AEE"/>
    <w:rsid w:val="0A2E1D1D"/>
    <w:rsid w:val="0AA657E9"/>
    <w:rsid w:val="0AF339DE"/>
    <w:rsid w:val="0B006D47"/>
    <w:rsid w:val="0B0C0E20"/>
    <w:rsid w:val="0B623651"/>
    <w:rsid w:val="0BAD2104"/>
    <w:rsid w:val="0BF66816"/>
    <w:rsid w:val="0C3977C8"/>
    <w:rsid w:val="0C7D6D6C"/>
    <w:rsid w:val="0C814DCD"/>
    <w:rsid w:val="0CD61992"/>
    <w:rsid w:val="0CFE00F2"/>
    <w:rsid w:val="0D23326F"/>
    <w:rsid w:val="0D391FC2"/>
    <w:rsid w:val="0D4234FE"/>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44760D"/>
    <w:rsid w:val="0E7955AF"/>
    <w:rsid w:val="0E9931F0"/>
    <w:rsid w:val="0E9F712A"/>
    <w:rsid w:val="0EA64445"/>
    <w:rsid w:val="0EAA5D4E"/>
    <w:rsid w:val="0EEB6056"/>
    <w:rsid w:val="0EFD4000"/>
    <w:rsid w:val="0F1611F1"/>
    <w:rsid w:val="0F265206"/>
    <w:rsid w:val="0F2856BE"/>
    <w:rsid w:val="0F9619D4"/>
    <w:rsid w:val="0F9C0A77"/>
    <w:rsid w:val="0FC609F3"/>
    <w:rsid w:val="103861BE"/>
    <w:rsid w:val="10484DFE"/>
    <w:rsid w:val="106614A1"/>
    <w:rsid w:val="1089445F"/>
    <w:rsid w:val="10D6493B"/>
    <w:rsid w:val="10F05345"/>
    <w:rsid w:val="111446E3"/>
    <w:rsid w:val="113B1C0C"/>
    <w:rsid w:val="115E30F5"/>
    <w:rsid w:val="1191016A"/>
    <w:rsid w:val="11995EC3"/>
    <w:rsid w:val="11AF06E1"/>
    <w:rsid w:val="11C218A5"/>
    <w:rsid w:val="11D41E16"/>
    <w:rsid w:val="11E06AF2"/>
    <w:rsid w:val="11F10DCE"/>
    <w:rsid w:val="11F200D9"/>
    <w:rsid w:val="123020E5"/>
    <w:rsid w:val="125127A7"/>
    <w:rsid w:val="12EB084A"/>
    <w:rsid w:val="130F32A6"/>
    <w:rsid w:val="1346403B"/>
    <w:rsid w:val="135F4442"/>
    <w:rsid w:val="138832C0"/>
    <w:rsid w:val="139C70BD"/>
    <w:rsid w:val="139D6A6E"/>
    <w:rsid w:val="13A837AA"/>
    <w:rsid w:val="13BE1BF5"/>
    <w:rsid w:val="13DE1E9F"/>
    <w:rsid w:val="13EB01A5"/>
    <w:rsid w:val="13EC5F71"/>
    <w:rsid w:val="13F40DB0"/>
    <w:rsid w:val="140B4AAA"/>
    <w:rsid w:val="146B3531"/>
    <w:rsid w:val="14902CDE"/>
    <w:rsid w:val="14AD1CC9"/>
    <w:rsid w:val="14CB5B87"/>
    <w:rsid w:val="14CC3097"/>
    <w:rsid w:val="14F72197"/>
    <w:rsid w:val="15441F95"/>
    <w:rsid w:val="15452BE6"/>
    <w:rsid w:val="15562250"/>
    <w:rsid w:val="156B6FF0"/>
    <w:rsid w:val="15760107"/>
    <w:rsid w:val="15797CCF"/>
    <w:rsid w:val="15944091"/>
    <w:rsid w:val="15965061"/>
    <w:rsid w:val="15C04CD1"/>
    <w:rsid w:val="15E02AC0"/>
    <w:rsid w:val="16503E01"/>
    <w:rsid w:val="165528D8"/>
    <w:rsid w:val="165F6B34"/>
    <w:rsid w:val="16995E37"/>
    <w:rsid w:val="169E525D"/>
    <w:rsid w:val="16A86D68"/>
    <w:rsid w:val="16C97346"/>
    <w:rsid w:val="16E032A0"/>
    <w:rsid w:val="16FE3947"/>
    <w:rsid w:val="1703535A"/>
    <w:rsid w:val="171522DC"/>
    <w:rsid w:val="171A4E1D"/>
    <w:rsid w:val="17666F98"/>
    <w:rsid w:val="177259D8"/>
    <w:rsid w:val="178303DB"/>
    <w:rsid w:val="17936739"/>
    <w:rsid w:val="17A71FF4"/>
    <w:rsid w:val="17B86FA3"/>
    <w:rsid w:val="18114B6C"/>
    <w:rsid w:val="182714AF"/>
    <w:rsid w:val="185C36C6"/>
    <w:rsid w:val="185F6743"/>
    <w:rsid w:val="18762173"/>
    <w:rsid w:val="188D711B"/>
    <w:rsid w:val="189D4048"/>
    <w:rsid w:val="18A92F77"/>
    <w:rsid w:val="18BB4412"/>
    <w:rsid w:val="18D746B5"/>
    <w:rsid w:val="191E097B"/>
    <w:rsid w:val="193C5A11"/>
    <w:rsid w:val="194A2CAF"/>
    <w:rsid w:val="196A0FB4"/>
    <w:rsid w:val="197A0DA0"/>
    <w:rsid w:val="19FC5172"/>
    <w:rsid w:val="1A0E71DA"/>
    <w:rsid w:val="1A7317D7"/>
    <w:rsid w:val="1AF03522"/>
    <w:rsid w:val="1AF41B30"/>
    <w:rsid w:val="1AF51BBE"/>
    <w:rsid w:val="1B07676B"/>
    <w:rsid w:val="1B16672A"/>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77023B"/>
    <w:rsid w:val="1C7B7046"/>
    <w:rsid w:val="1CAE658B"/>
    <w:rsid w:val="1CB531E3"/>
    <w:rsid w:val="1CC738F0"/>
    <w:rsid w:val="1CEA0145"/>
    <w:rsid w:val="1D5A4B4C"/>
    <w:rsid w:val="1D6147A8"/>
    <w:rsid w:val="1DFC54FF"/>
    <w:rsid w:val="1E0F6013"/>
    <w:rsid w:val="1E373452"/>
    <w:rsid w:val="1E4A0038"/>
    <w:rsid w:val="1E8B211B"/>
    <w:rsid w:val="1E917DAA"/>
    <w:rsid w:val="1EAC6FC0"/>
    <w:rsid w:val="1EC01569"/>
    <w:rsid w:val="1EDF11CD"/>
    <w:rsid w:val="1EE01851"/>
    <w:rsid w:val="1F4C5F8E"/>
    <w:rsid w:val="1F4C6A60"/>
    <w:rsid w:val="1F5F45F6"/>
    <w:rsid w:val="1F6D4BDC"/>
    <w:rsid w:val="1F6E44D2"/>
    <w:rsid w:val="1FC34AAE"/>
    <w:rsid w:val="1FD44AF3"/>
    <w:rsid w:val="1FF23782"/>
    <w:rsid w:val="20162717"/>
    <w:rsid w:val="20581546"/>
    <w:rsid w:val="20A124BD"/>
    <w:rsid w:val="20E92668"/>
    <w:rsid w:val="20EA64A4"/>
    <w:rsid w:val="20FC7DFE"/>
    <w:rsid w:val="21194890"/>
    <w:rsid w:val="2122760F"/>
    <w:rsid w:val="213E0C37"/>
    <w:rsid w:val="214C7C00"/>
    <w:rsid w:val="215F6288"/>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E801DA"/>
    <w:rsid w:val="24EE11EF"/>
    <w:rsid w:val="24F01C1E"/>
    <w:rsid w:val="252E69F7"/>
    <w:rsid w:val="257C203E"/>
    <w:rsid w:val="258C074F"/>
    <w:rsid w:val="25EE2635"/>
    <w:rsid w:val="25F0208A"/>
    <w:rsid w:val="26025D3A"/>
    <w:rsid w:val="26417780"/>
    <w:rsid w:val="268417EF"/>
    <w:rsid w:val="268C5E25"/>
    <w:rsid w:val="26A541E9"/>
    <w:rsid w:val="26BB1723"/>
    <w:rsid w:val="26CE5DD7"/>
    <w:rsid w:val="270D5649"/>
    <w:rsid w:val="2714504D"/>
    <w:rsid w:val="27280F12"/>
    <w:rsid w:val="2737614D"/>
    <w:rsid w:val="277350CB"/>
    <w:rsid w:val="27805EFB"/>
    <w:rsid w:val="27A91D58"/>
    <w:rsid w:val="27DF258E"/>
    <w:rsid w:val="28071DA7"/>
    <w:rsid w:val="28360677"/>
    <w:rsid w:val="283913BE"/>
    <w:rsid w:val="28801DAF"/>
    <w:rsid w:val="28A8449C"/>
    <w:rsid w:val="28C248C5"/>
    <w:rsid w:val="29085CE3"/>
    <w:rsid w:val="295236BE"/>
    <w:rsid w:val="295E5289"/>
    <w:rsid w:val="29680155"/>
    <w:rsid w:val="29707129"/>
    <w:rsid w:val="298E7457"/>
    <w:rsid w:val="29C244A8"/>
    <w:rsid w:val="29D821A5"/>
    <w:rsid w:val="29E62C14"/>
    <w:rsid w:val="2A954038"/>
    <w:rsid w:val="2AE44AA2"/>
    <w:rsid w:val="2AF502EE"/>
    <w:rsid w:val="2B113DE4"/>
    <w:rsid w:val="2B384040"/>
    <w:rsid w:val="2B9E3DC9"/>
    <w:rsid w:val="2BAA4834"/>
    <w:rsid w:val="2BAD2E75"/>
    <w:rsid w:val="2BAF20A7"/>
    <w:rsid w:val="2BC83A75"/>
    <w:rsid w:val="2BD83532"/>
    <w:rsid w:val="2BDB10CE"/>
    <w:rsid w:val="2BEE4DC6"/>
    <w:rsid w:val="2C2A533E"/>
    <w:rsid w:val="2C424BBA"/>
    <w:rsid w:val="2C9A11D1"/>
    <w:rsid w:val="2CB37E9C"/>
    <w:rsid w:val="2CB46690"/>
    <w:rsid w:val="2CE33A79"/>
    <w:rsid w:val="2CE346C3"/>
    <w:rsid w:val="2CE90ED2"/>
    <w:rsid w:val="2CEC114E"/>
    <w:rsid w:val="2CEF73AD"/>
    <w:rsid w:val="2CF27F88"/>
    <w:rsid w:val="2D227DB9"/>
    <w:rsid w:val="2D425430"/>
    <w:rsid w:val="2D597235"/>
    <w:rsid w:val="2D78124C"/>
    <w:rsid w:val="2DC115AC"/>
    <w:rsid w:val="2DDB6FEC"/>
    <w:rsid w:val="2DE90567"/>
    <w:rsid w:val="2E04559A"/>
    <w:rsid w:val="2E12779E"/>
    <w:rsid w:val="2E251A45"/>
    <w:rsid w:val="2E4076B1"/>
    <w:rsid w:val="2E484F8A"/>
    <w:rsid w:val="2E4B2579"/>
    <w:rsid w:val="2ECD1C57"/>
    <w:rsid w:val="2ECE01E6"/>
    <w:rsid w:val="2FC43E60"/>
    <w:rsid w:val="2FD24B0B"/>
    <w:rsid w:val="2FE75666"/>
    <w:rsid w:val="30066B4C"/>
    <w:rsid w:val="30377FF1"/>
    <w:rsid w:val="303F6D0C"/>
    <w:rsid w:val="30631342"/>
    <w:rsid w:val="30750BB0"/>
    <w:rsid w:val="309E6AE1"/>
    <w:rsid w:val="310352FA"/>
    <w:rsid w:val="3159016F"/>
    <w:rsid w:val="31655D79"/>
    <w:rsid w:val="31735A7D"/>
    <w:rsid w:val="3174607B"/>
    <w:rsid w:val="319054FC"/>
    <w:rsid w:val="31B203FE"/>
    <w:rsid w:val="31CC17DD"/>
    <w:rsid w:val="31F97FD8"/>
    <w:rsid w:val="32016C00"/>
    <w:rsid w:val="320B5870"/>
    <w:rsid w:val="32440235"/>
    <w:rsid w:val="3261333F"/>
    <w:rsid w:val="32835E71"/>
    <w:rsid w:val="329058B9"/>
    <w:rsid w:val="3299565F"/>
    <w:rsid w:val="32D46C27"/>
    <w:rsid w:val="32EE21B3"/>
    <w:rsid w:val="33092E4B"/>
    <w:rsid w:val="330F23DF"/>
    <w:rsid w:val="334A3DA1"/>
    <w:rsid w:val="33610ADB"/>
    <w:rsid w:val="3375179E"/>
    <w:rsid w:val="33B12035"/>
    <w:rsid w:val="33B63C32"/>
    <w:rsid w:val="33BA3EA4"/>
    <w:rsid w:val="34131012"/>
    <w:rsid w:val="34171487"/>
    <w:rsid w:val="342E2B39"/>
    <w:rsid w:val="343C4A89"/>
    <w:rsid w:val="343D7BFD"/>
    <w:rsid w:val="34460FFB"/>
    <w:rsid w:val="347E731E"/>
    <w:rsid w:val="349614CB"/>
    <w:rsid w:val="34C51938"/>
    <w:rsid w:val="34DA608C"/>
    <w:rsid w:val="34DD7E01"/>
    <w:rsid w:val="350B3235"/>
    <w:rsid w:val="3514279B"/>
    <w:rsid w:val="351B1A28"/>
    <w:rsid w:val="35265E42"/>
    <w:rsid w:val="353815FD"/>
    <w:rsid w:val="353F02F3"/>
    <w:rsid w:val="357556C8"/>
    <w:rsid w:val="357D79D8"/>
    <w:rsid w:val="35825A1E"/>
    <w:rsid w:val="3590142B"/>
    <w:rsid w:val="359765C4"/>
    <w:rsid w:val="35BC0625"/>
    <w:rsid w:val="35BF3545"/>
    <w:rsid w:val="3610397A"/>
    <w:rsid w:val="3634678A"/>
    <w:rsid w:val="36383EE1"/>
    <w:rsid w:val="36527DCA"/>
    <w:rsid w:val="369345B2"/>
    <w:rsid w:val="370246D3"/>
    <w:rsid w:val="370E06BA"/>
    <w:rsid w:val="372A0359"/>
    <w:rsid w:val="37557342"/>
    <w:rsid w:val="37825166"/>
    <w:rsid w:val="37865704"/>
    <w:rsid w:val="37AA374C"/>
    <w:rsid w:val="38024E33"/>
    <w:rsid w:val="38076476"/>
    <w:rsid w:val="380C2DC6"/>
    <w:rsid w:val="38236E54"/>
    <w:rsid w:val="3842120B"/>
    <w:rsid w:val="38832151"/>
    <w:rsid w:val="38CD1E1E"/>
    <w:rsid w:val="38D12AAE"/>
    <w:rsid w:val="38E878ED"/>
    <w:rsid w:val="391E24F8"/>
    <w:rsid w:val="391E51DB"/>
    <w:rsid w:val="39786BF2"/>
    <w:rsid w:val="39B73512"/>
    <w:rsid w:val="39BA7F61"/>
    <w:rsid w:val="39E214EC"/>
    <w:rsid w:val="3A04319F"/>
    <w:rsid w:val="3A24193D"/>
    <w:rsid w:val="3A270FB8"/>
    <w:rsid w:val="3A283C9D"/>
    <w:rsid w:val="3A355AA0"/>
    <w:rsid w:val="3A5F78FB"/>
    <w:rsid w:val="3A821D2E"/>
    <w:rsid w:val="3A875EF9"/>
    <w:rsid w:val="3A9A5DA6"/>
    <w:rsid w:val="3AB14EB1"/>
    <w:rsid w:val="3AEE18AA"/>
    <w:rsid w:val="3B032819"/>
    <w:rsid w:val="3B0A2777"/>
    <w:rsid w:val="3B4548DF"/>
    <w:rsid w:val="3C17127B"/>
    <w:rsid w:val="3C197B04"/>
    <w:rsid w:val="3C28504A"/>
    <w:rsid w:val="3C5C0E29"/>
    <w:rsid w:val="3C8F53AF"/>
    <w:rsid w:val="3CA87892"/>
    <w:rsid w:val="3CA9417D"/>
    <w:rsid w:val="3CAD2E03"/>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DE73B50"/>
    <w:rsid w:val="3E2D7AB9"/>
    <w:rsid w:val="3E440B40"/>
    <w:rsid w:val="3E6B0A4A"/>
    <w:rsid w:val="3E75669F"/>
    <w:rsid w:val="3E8079D8"/>
    <w:rsid w:val="3E822F47"/>
    <w:rsid w:val="3E89692C"/>
    <w:rsid w:val="3E8B6DF4"/>
    <w:rsid w:val="3EAC493F"/>
    <w:rsid w:val="3EB04596"/>
    <w:rsid w:val="3ED62FA3"/>
    <w:rsid w:val="3ED93986"/>
    <w:rsid w:val="3F07647B"/>
    <w:rsid w:val="3F2B45D1"/>
    <w:rsid w:val="3F3144B1"/>
    <w:rsid w:val="3F5C3EA3"/>
    <w:rsid w:val="3F692609"/>
    <w:rsid w:val="3F7F3352"/>
    <w:rsid w:val="3F970547"/>
    <w:rsid w:val="3FA350DE"/>
    <w:rsid w:val="3FAF3DDC"/>
    <w:rsid w:val="3FDB7A9D"/>
    <w:rsid w:val="3FF25E78"/>
    <w:rsid w:val="40275D83"/>
    <w:rsid w:val="402D4028"/>
    <w:rsid w:val="40424E24"/>
    <w:rsid w:val="406A2185"/>
    <w:rsid w:val="407C0250"/>
    <w:rsid w:val="408E4586"/>
    <w:rsid w:val="409F5D0B"/>
    <w:rsid w:val="40A25FF6"/>
    <w:rsid w:val="413618C3"/>
    <w:rsid w:val="4145515D"/>
    <w:rsid w:val="416500CC"/>
    <w:rsid w:val="41843588"/>
    <w:rsid w:val="418E3FF7"/>
    <w:rsid w:val="41AD06CE"/>
    <w:rsid w:val="41BC6356"/>
    <w:rsid w:val="41C8325D"/>
    <w:rsid w:val="41F406CA"/>
    <w:rsid w:val="41F7672F"/>
    <w:rsid w:val="42054356"/>
    <w:rsid w:val="42663652"/>
    <w:rsid w:val="42C4415D"/>
    <w:rsid w:val="42E20F30"/>
    <w:rsid w:val="42EC1A85"/>
    <w:rsid w:val="43030F09"/>
    <w:rsid w:val="43276AA8"/>
    <w:rsid w:val="43462D95"/>
    <w:rsid w:val="43475F8D"/>
    <w:rsid w:val="43652047"/>
    <w:rsid w:val="436A5B87"/>
    <w:rsid w:val="43A2638A"/>
    <w:rsid w:val="43B17435"/>
    <w:rsid w:val="43D6618D"/>
    <w:rsid w:val="43FF401D"/>
    <w:rsid w:val="440033C7"/>
    <w:rsid w:val="44140F84"/>
    <w:rsid w:val="442D134F"/>
    <w:rsid w:val="443E7814"/>
    <w:rsid w:val="444E05BE"/>
    <w:rsid w:val="44805202"/>
    <w:rsid w:val="449A2059"/>
    <w:rsid w:val="44B0658B"/>
    <w:rsid w:val="44CD5A3F"/>
    <w:rsid w:val="44D516EE"/>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79B48EB"/>
    <w:rsid w:val="480E0A81"/>
    <w:rsid w:val="48333627"/>
    <w:rsid w:val="48490DA6"/>
    <w:rsid w:val="485E4D7E"/>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06BAE"/>
    <w:rsid w:val="4A6A5847"/>
    <w:rsid w:val="4AA3589F"/>
    <w:rsid w:val="4AD44E51"/>
    <w:rsid w:val="4ADE2AF8"/>
    <w:rsid w:val="4AEA15BC"/>
    <w:rsid w:val="4AEC78E8"/>
    <w:rsid w:val="4AFB32C5"/>
    <w:rsid w:val="4B1D178D"/>
    <w:rsid w:val="4B905361"/>
    <w:rsid w:val="4B917BB9"/>
    <w:rsid w:val="4BA071F5"/>
    <w:rsid w:val="4BA4193C"/>
    <w:rsid w:val="4BE6156D"/>
    <w:rsid w:val="4BF03B16"/>
    <w:rsid w:val="4C153E89"/>
    <w:rsid w:val="4C3B412E"/>
    <w:rsid w:val="4C6620BC"/>
    <w:rsid w:val="4C664B02"/>
    <w:rsid w:val="4CAC3A92"/>
    <w:rsid w:val="4CC8688D"/>
    <w:rsid w:val="4CD76021"/>
    <w:rsid w:val="4D1C3D43"/>
    <w:rsid w:val="4D1C5ED8"/>
    <w:rsid w:val="4DA613A2"/>
    <w:rsid w:val="4DA85876"/>
    <w:rsid w:val="4DDE6C92"/>
    <w:rsid w:val="4DE00960"/>
    <w:rsid w:val="4DF11888"/>
    <w:rsid w:val="4DF6643F"/>
    <w:rsid w:val="4DFF215A"/>
    <w:rsid w:val="4E4652D6"/>
    <w:rsid w:val="4E565EA6"/>
    <w:rsid w:val="4E5E19E4"/>
    <w:rsid w:val="4E764E55"/>
    <w:rsid w:val="4E990636"/>
    <w:rsid w:val="4EA64D87"/>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B506B4"/>
    <w:rsid w:val="51D46736"/>
    <w:rsid w:val="52071D8B"/>
    <w:rsid w:val="52254821"/>
    <w:rsid w:val="523073D5"/>
    <w:rsid w:val="52735112"/>
    <w:rsid w:val="528D06DC"/>
    <w:rsid w:val="529E498E"/>
    <w:rsid w:val="52A1794C"/>
    <w:rsid w:val="52D617C8"/>
    <w:rsid w:val="52FE0DB8"/>
    <w:rsid w:val="530F1F27"/>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AE181F"/>
    <w:rsid w:val="55E0595B"/>
    <w:rsid w:val="56010107"/>
    <w:rsid w:val="5608147C"/>
    <w:rsid w:val="560B0A66"/>
    <w:rsid w:val="561E3D77"/>
    <w:rsid w:val="569620E6"/>
    <w:rsid w:val="569F1D2D"/>
    <w:rsid w:val="56A54DB1"/>
    <w:rsid w:val="56E35BB8"/>
    <w:rsid w:val="56E81E5B"/>
    <w:rsid w:val="56F9628E"/>
    <w:rsid w:val="56FA5717"/>
    <w:rsid w:val="57160180"/>
    <w:rsid w:val="57365F3B"/>
    <w:rsid w:val="57586B75"/>
    <w:rsid w:val="57A31A70"/>
    <w:rsid w:val="57B23D3F"/>
    <w:rsid w:val="57C71611"/>
    <w:rsid w:val="57CB6385"/>
    <w:rsid w:val="57CE5954"/>
    <w:rsid w:val="58240A08"/>
    <w:rsid w:val="583F18BE"/>
    <w:rsid w:val="584222E0"/>
    <w:rsid w:val="58435AD6"/>
    <w:rsid w:val="58621E13"/>
    <w:rsid w:val="586A19AF"/>
    <w:rsid w:val="586F0D80"/>
    <w:rsid w:val="587956C7"/>
    <w:rsid w:val="58AA7C16"/>
    <w:rsid w:val="58B227FB"/>
    <w:rsid w:val="58B40BCA"/>
    <w:rsid w:val="58B6004F"/>
    <w:rsid w:val="590442D0"/>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ADF0DF4"/>
    <w:rsid w:val="5B0E7C47"/>
    <w:rsid w:val="5B117010"/>
    <w:rsid w:val="5B1A089C"/>
    <w:rsid w:val="5B2643D5"/>
    <w:rsid w:val="5B3F59D4"/>
    <w:rsid w:val="5B5432A8"/>
    <w:rsid w:val="5B551DD3"/>
    <w:rsid w:val="5B554385"/>
    <w:rsid w:val="5B5C27E2"/>
    <w:rsid w:val="5B656411"/>
    <w:rsid w:val="5B920DC7"/>
    <w:rsid w:val="5B9626CA"/>
    <w:rsid w:val="5BDC6801"/>
    <w:rsid w:val="5BE31DCA"/>
    <w:rsid w:val="5BF13ABB"/>
    <w:rsid w:val="5BF5091A"/>
    <w:rsid w:val="5C1E7A31"/>
    <w:rsid w:val="5C3404F6"/>
    <w:rsid w:val="5C937964"/>
    <w:rsid w:val="5CB30274"/>
    <w:rsid w:val="5CD27B13"/>
    <w:rsid w:val="5CD83212"/>
    <w:rsid w:val="5CEA6518"/>
    <w:rsid w:val="5D0535F0"/>
    <w:rsid w:val="5D0B2C58"/>
    <w:rsid w:val="5D1E31EF"/>
    <w:rsid w:val="5D481CEF"/>
    <w:rsid w:val="5D4A4276"/>
    <w:rsid w:val="5D4D32BD"/>
    <w:rsid w:val="5D5E0B52"/>
    <w:rsid w:val="5D847905"/>
    <w:rsid w:val="5D904A0E"/>
    <w:rsid w:val="5DD0072E"/>
    <w:rsid w:val="5DD83CB9"/>
    <w:rsid w:val="5DF50184"/>
    <w:rsid w:val="5DFC6CCB"/>
    <w:rsid w:val="5E1F4DEA"/>
    <w:rsid w:val="5EA51863"/>
    <w:rsid w:val="5EE7529C"/>
    <w:rsid w:val="5EF85053"/>
    <w:rsid w:val="5F3B26AA"/>
    <w:rsid w:val="5F417156"/>
    <w:rsid w:val="5F4B4BE4"/>
    <w:rsid w:val="5F625880"/>
    <w:rsid w:val="5FB14CFA"/>
    <w:rsid w:val="5FB4639C"/>
    <w:rsid w:val="5FBF0852"/>
    <w:rsid w:val="5FC92450"/>
    <w:rsid w:val="5FD15E6D"/>
    <w:rsid w:val="600A7A52"/>
    <w:rsid w:val="602077B4"/>
    <w:rsid w:val="60225B1F"/>
    <w:rsid w:val="603B5186"/>
    <w:rsid w:val="605421C2"/>
    <w:rsid w:val="60746053"/>
    <w:rsid w:val="60912456"/>
    <w:rsid w:val="60956CE9"/>
    <w:rsid w:val="609B762B"/>
    <w:rsid w:val="60EA4BBC"/>
    <w:rsid w:val="617A3F41"/>
    <w:rsid w:val="61C613E2"/>
    <w:rsid w:val="61CC6C53"/>
    <w:rsid w:val="61F97338"/>
    <w:rsid w:val="620A7A2F"/>
    <w:rsid w:val="6210299D"/>
    <w:rsid w:val="62182EC6"/>
    <w:rsid w:val="621A37C8"/>
    <w:rsid w:val="62563B79"/>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3827A3"/>
    <w:rsid w:val="654F060F"/>
    <w:rsid w:val="65585701"/>
    <w:rsid w:val="6571508C"/>
    <w:rsid w:val="659F3772"/>
    <w:rsid w:val="65AC62AE"/>
    <w:rsid w:val="65D50F90"/>
    <w:rsid w:val="65D85914"/>
    <w:rsid w:val="65E8224C"/>
    <w:rsid w:val="66056572"/>
    <w:rsid w:val="661F0A0E"/>
    <w:rsid w:val="661F1D17"/>
    <w:rsid w:val="6625110D"/>
    <w:rsid w:val="66445E49"/>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4A36"/>
    <w:rsid w:val="6A906CC0"/>
    <w:rsid w:val="6A9F5EAD"/>
    <w:rsid w:val="6AA04B46"/>
    <w:rsid w:val="6ACD410B"/>
    <w:rsid w:val="6AE03838"/>
    <w:rsid w:val="6AFB29E5"/>
    <w:rsid w:val="6B07227F"/>
    <w:rsid w:val="6B2B7E15"/>
    <w:rsid w:val="6B457993"/>
    <w:rsid w:val="6B722496"/>
    <w:rsid w:val="6B80414A"/>
    <w:rsid w:val="6B89131A"/>
    <w:rsid w:val="6B8F7565"/>
    <w:rsid w:val="6B961A5B"/>
    <w:rsid w:val="6B985891"/>
    <w:rsid w:val="6C0617E4"/>
    <w:rsid w:val="6C376E3F"/>
    <w:rsid w:val="6CAD12CC"/>
    <w:rsid w:val="6CB250F3"/>
    <w:rsid w:val="6CBF1A0D"/>
    <w:rsid w:val="6CC15C1A"/>
    <w:rsid w:val="6CC84898"/>
    <w:rsid w:val="6D074EAC"/>
    <w:rsid w:val="6D4B5A55"/>
    <w:rsid w:val="6D734E8A"/>
    <w:rsid w:val="6D7E533B"/>
    <w:rsid w:val="6DAF296E"/>
    <w:rsid w:val="6E120D2A"/>
    <w:rsid w:val="6E3E2D07"/>
    <w:rsid w:val="6E4D6901"/>
    <w:rsid w:val="6E906A8D"/>
    <w:rsid w:val="6E9B0DD8"/>
    <w:rsid w:val="6ED22F4B"/>
    <w:rsid w:val="6EDB54F5"/>
    <w:rsid w:val="6EE46197"/>
    <w:rsid w:val="6EEA3AFD"/>
    <w:rsid w:val="6EEE3AC1"/>
    <w:rsid w:val="6EF822A2"/>
    <w:rsid w:val="6F127145"/>
    <w:rsid w:val="6F1A3BE3"/>
    <w:rsid w:val="6F243B76"/>
    <w:rsid w:val="6F4C72F5"/>
    <w:rsid w:val="6F7C1FEF"/>
    <w:rsid w:val="6FD54B20"/>
    <w:rsid w:val="700A661C"/>
    <w:rsid w:val="70267678"/>
    <w:rsid w:val="704F5BB9"/>
    <w:rsid w:val="70880520"/>
    <w:rsid w:val="71015BE7"/>
    <w:rsid w:val="71570437"/>
    <w:rsid w:val="715F13CC"/>
    <w:rsid w:val="71A028DC"/>
    <w:rsid w:val="71E7354A"/>
    <w:rsid w:val="71FF2B82"/>
    <w:rsid w:val="721065A7"/>
    <w:rsid w:val="72262F4F"/>
    <w:rsid w:val="72404167"/>
    <w:rsid w:val="726B46CA"/>
    <w:rsid w:val="72986C22"/>
    <w:rsid w:val="72B02B60"/>
    <w:rsid w:val="72C83D89"/>
    <w:rsid w:val="72DC2FC4"/>
    <w:rsid w:val="72FD6D11"/>
    <w:rsid w:val="73065251"/>
    <w:rsid w:val="731C2EFD"/>
    <w:rsid w:val="7361339E"/>
    <w:rsid w:val="73644F8E"/>
    <w:rsid w:val="737E2D1F"/>
    <w:rsid w:val="73874401"/>
    <w:rsid w:val="73986F17"/>
    <w:rsid w:val="73CE2DA1"/>
    <w:rsid w:val="740D569D"/>
    <w:rsid w:val="741E15E9"/>
    <w:rsid w:val="74583100"/>
    <w:rsid w:val="74862996"/>
    <w:rsid w:val="75145C3D"/>
    <w:rsid w:val="751D0546"/>
    <w:rsid w:val="754D55BC"/>
    <w:rsid w:val="754F7F3F"/>
    <w:rsid w:val="759406CF"/>
    <w:rsid w:val="759A6659"/>
    <w:rsid w:val="759A685A"/>
    <w:rsid w:val="75BE058E"/>
    <w:rsid w:val="75E01463"/>
    <w:rsid w:val="76003B68"/>
    <w:rsid w:val="764A2175"/>
    <w:rsid w:val="76995DBC"/>
    <w:rsid w:val="769E46B1"/>
    <w:rsid w:val="76AC673B"/>
    <w:rsid w:val="76C1141F"/>
    <w:rsid w:val="76CA582B"/>
    <w:rsid w:val="76CB6B21"/>
    <w:rsid w:val="76D0411E"/>
    <w:rsid w:val="76D16000"/>
    <w:rsid w:val="770C2128"/>
    <w:rsid w:val="774C41D4"/>
    <w:rsid w:val="774F1A24"/>
    <w:rsid w:val="775532E3"/>
    <w:rsid w:val="77585489"/>
    <w:rsid w:val="779D0A98"/>
    <w:rsid w:val="77A5337F"/>
    <w:rsid w:val="77B42F9B"/>
    <w:rsid w:val="77DD5BEB"/>
    <w:rsid w:val="77F97C45"/>
    <w:rsid w:val="781100F3"/>
    <w:rsid w:val="78280476"/>
    <w:rsid w:val="782B0ADA"/>
    <w:rsid w:val="7833231F"/>
    <w:rsid w:val="784E58D4"/>
    <w:rsid w:val="784E6AD9"/>
    <w:rsid w:val="78517809"/>
    <w:rsid w:val="785A5064"/>
    <w:rsid w:val="789606CD"/>
    <w:rsid w:val="789A5B12"/>
    <w:rsid w:val="78A10A6B"/>
    <w:rsid w:val="78A8268C"/>
    <w:rsid w:val="78DD4D40"/>
    <w:rsid w:val="78F175FE"/>
    <w:rsid w:val="79000C5D"/>
    <w:rsid w:val="795700DA"/>
    <w:rsid w:val="79755ECD"/>
    <w:rsid w:val="79A664CD"/>
    <w:rsid w:val="7A5B7707"/>
    <w:rsid w:val="7A766991"/>
    <w:rsid w:val="7A887C50"/>
    <w:rsid w:val="7AB16D5F"/>
    <w:rsid w:val="7AB820B2"/>
    <w:rsid w:val="7ACC35B0"/>
    <w:rsid w:val="7ADA7DA8"/>
    <w:rsid w:val="7AF74591"/>
    <w:rsid w:val="7B1150DA"/>
    <w:rsid w:val="7B4E6F79"/>
    <w:rsid w:val="7B515A8A"/>
    <w:rsid w:val="7B993AAA"/>
    <w:rsid w:val="7BB10732"/>
    <w:rsid w:val="7BB33137"/>
    <w:rsid w:val="7BCB51C4"/>
    <w:rsid w:val="7BF91849"/>
    <w:rsid w:val="7C1B4A50"/>
    <w:rsid w:val="7C447460"/>
    <w:rsid w:val="7C5C6754"/>
    <w:rsid w:val="7C9D3270"/>
    <w:rsid w:val="7CA9484D"/>
    <w:rsid w:val="7CB4324F"/>
    <w:rsid w:val="7CC820DC"/>
    <w:rsid w:val="7CE365FC"/>
    <w:rsid w:val="7CE72EB4"/>
    <w:rsid w:val="7CF12EF7"/>
    <w:rsid w:val="7CF639DE"/>
    <w:rsid w:val="7D03683D"/>
    <w:rsid w:val="7D073A09"/>
    <w:rsid w:val="7D09181F"/>
    <w:rsid w:val="7D2D376E"/>
    <w:rsid w:val="7D4B0427"/>
    <w:rsid w:val="7D6B1BD1"/>
    <w:rsid w:val="7D7635FF"/>
    <w:rsid w:val="7D852713"/>
    <w:rsid w:val="7DE66EE4"/>
    <w:rsid w:val="7DFD02BF"/>
    <w:rsid w:val="7E004D1D"/>
    <w:rsid w:val="7E0A657E"/>
    <w:rsid w:val="7E187E7B"/>
    <w:rsid w:val="7E4F25B6"/>
    <w:rsid w:val="7E6817F0"/>
    <w:rsid w:val="7E800146"/>
    <w:rsid w:val="7ECA4153"/>
    <w:rsid w:val="7ECE329C"/>
    <w:rsid w:val="7EDE1639"/>
    <w:rsid w:val="7F196AB2"/>
    <w:rsid w:val="7F556DC5"/>
    <w:rsid w:val="7F932130"/>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6"/>
    <w:qFormat/>
    <w:uiPriority w:val="0"/>
    <w:pPr>
      <w:keepNext/>
      <w:keepLines/>
      <w:spacing w:before="260" w:after="260" w:line="413" w:lineRule="auto"/>
      <w:outlineLvl w:val="2"/>
    </w:pPr>
    <w:rPr>
      <w:b/>
      <w:bCs/>
      <w:sz w:val="32"/>
      <w:szCs w:val="32"/>
    </w:rPr>
  </w:style>
  <w:style w:type="paragraph" w:styleId="6">
    <w:name w:val="heading 4"/>
    <w:basedOn w:val="1"/>
    <w:next w:val="1"/>
    <w:link w:val="6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4"/>
    <w:link w:val="74"/>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59"/>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69"/>
    <w:qFormat/>
    <w:uiPriority w:val="0"/>
    <w:rPr>
      <w:rFonts w:ascii="宋体" w:hAnsi="Courier New"/>
      <w:szCs w:val="21"/>
    </w:rPr>
  </w:style>
  <w:style w:type="paragraph" w:styleId="18">
    <w:name w:val="Balloon Text"/>
    <w:basedOn w:val="1"/>
    <w:link w:val="76"/>
    <w:unhideWhenUsed/>
    <w:qFormat/>
    <w:uiPriority w:val="99"/>
    <w:rPr>
      <w:sz w:val="18"/>
      <w:szCs w:val="18"/>
    </w:rPr>
  </w:style>
  <w:style w:type="paragraph" w:styleId="19">
    <w:name w:val="footer"/>
    <w:basedOn w:val="1"/>
    <w:link w:val="70"/>
    <w:unhideWhenUsed/>
    <w:qFormat/>
    <w:uiPriority w:val="99"/>
    <w:pPr>
      <w:tabs>
        <w:tab w:val="center" w:pos="4153"/>
        <w:tab w:val="right" w:pos="8306"/>
      </w:tabs>
      <w:snapToGrid w:val="0"/>
      <w:jc w:val="left"/>
    </w:pPr>
    <w:rPr>
      <w:sz w:val="18"/>
      <w:szCs w:val="18"/>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CM10"/>
    <w:basedOn w:val="32"/>
    <w:next w:val="32"/>
    <w:unhideWhenUsed/>
    <w:qFormat/>
    <w:uiPriority w:val="99"/>
    <w:pPr>
      <w:spacing w:line="408" w:lineRule="atLeast"/>
    </w:pPr>
    <w:rPr>
      <w:rFonts w:hint="default"/>
    </w:rPr>
  </w:style>
  <w:style w:type="paragraph" w:customStyle="1" w:styleId="34">
    <w:name w:val="CM3"/>
    <w:basedOn w:val="32"/>
    <w:next w:val="32"/>
    <w:unhideWhenUsed/>
    <w:qFormat/>
    <w:uiPriority w:val="99"/>
    <w:pPr>
      <w:spacing w:line="408" w:lineRule="atLeast"/>
    </w:pPr>
    <w:rPr>
      <w:rFonts w:hint="default"/>
    </w:rPr>
  </w:style>
  <w:style w:type="paragraph" w:customStyle="1" w:styleId="35">
    <w:name w:val="CM4"/>
    <w:basedOn w:val="32"/>
    <w:next w:val="32"/>
    <w:unhideWhenUsed/>
    <w:qFormat/>
    <w:uiPriority w:val="99"/>
    <w:pPr>
      <w:spacing w:line="411" w:lineRule="atLeast"/>
    </w:pPr>
    <w:rPr>
      <w:rFonts w:hint="default"/>
    </w:rPr>
  </w:style>
  <w:style w:type="paragraph" w:customStyle="1" w:styleId="36">
    <w:name w:val="Table Paragraph"/>
    <w:basedOn w:val="1"/>
    <w:qFormat/>
    <w:uiPriority w:val="1"/>
    <w:rPr>
      <w:rFonts w:ascii="宋体" w:hAnsi="宋体" w:cs="宋体"/>
      <w:lang w:val="zh-CN" w:bidi="zh-CN"/>
    </w:rPr>
  </w:style>
  <w:style w:type="paragraph" w:customStyle="1" w:styleId="37">
    <w:name w:val="List Paragraph"/>
    <w:basedOn w:val="1"/>
    <w:link w:val="64"/>
    <w:qFormat/>
    <w:uiPriority w:val="0"/>
    <w:pPr>
      <w:ind w:firstLine="420" w:firstLineChars="200"/>
    </w:pPr>
    <w:rPr>
      <w:szCs w:val="20"/>
    </w:rPr>
  </w:style>
  <w:style w:type="paragraph" w:customStyle="1" w:styleId="38">
    <w:name w:val="Char Char Char Char"/>
    <w:basedOn w:val="1"/>
    <w:qFormat/>
    <w:uiPriority w:val="0"/>
    <w:pPr>
      <w:widowControl/>
      <w:spacing w:after="160" w:line="240" w:lineRule="exact"/>
      <w:jc w:val="left"/>
    </w:pPr>
    <w:rPr>
      <w:szCs w:val="24"/>
    </w:rPr>
  </w:style>
  <w:style w:type="paragraph" w:customStyle="1" w:styleId="39">
    <w:name w:val="CM16"/>
    <w:basedOn w:val="32"/>
    <w:next w:val="32"/>
    <w:unhideWhenUsed/>
    <w:qFormat/>
    <w:uiPriority w:val="99"/>
    <w:pPr>
      <w:spacing w:line="411" w:lineRule="atLeast"/>
    </w:pPr>
    <w:rPr>
      <w:rFonts w:hint="default"/>
    </w:rPr>
  </w:style>
  <w:style w:type="paragraph" w:customStyle="1" w:styleId="40">
    <w:name w:val="CM13"/>
    <w:basedOn w:val="32"/>
    <w:next w:val="32"/>
    <w:unhideWhenUsed/>
    <w:qFormat/>
    <w:uiPriority w:val="99"/>
    <w:pPr>
      <w:spacing w:line="408" w:lineRule="atLeast"/>
    </w:pPr>
    <w:rPr>
      <w:rFonts w:hint="default"/>
    </w:rPr>
  </w:style>
  <w:style w:type="paragraph" w:customStyle="1" w:styleId="41">
    <w:name w:val="CM27"/>
    <w:basedOn w:val="32"/>
    <w:next w:val="32"/>
    <w:unhideWhenUsed/>
    <w:qFormat/>
    <w:uiPriority w:val="99"/>
    <w:pPr>
      <w:spacing w:line="411" w:lineRule="atLeast"/>
    </w:pPr>
    <w:rPr>
      <w:rFonts w:hint="default"/>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CM5"/>
    <w:basedOn w:val="32"/>
    <w:next w:val="32"/>
    <w:unhideWhenUsed/>
    <w:qFormat/>
    <w:uiPriority w:val="99"/>
    <w:pPr>
      <w:spacing w:line="411" w:lineRule="atLeast"/>
    </w:pPr>
    <w:rPr>
      <w:rFonts w:hint="default"/>
    </w:rPr>
  </w:style>
  <w:style w:type="paragraph" w:customStyle="1" w:styleId="45">
    <w:name w:val="列出段落1"/>
    <w:basedOn w:val="1"/>
    <w:qFormat/>
    <w:uiPriority w:val="0"/>
    <w:pPr>
      <w:ind w:firstLine="420" w:firstLineChars="200"/>
    </w:pPr>
  </w:style>
  <w:style w:type="paragraph" w:customStyle="1" w:styleId="46">
    <w:name w:val="CM7"/>
    <w:basedOn w:val="32"/>
    <w:next w:val="32"/>
    <w:unhideWhenUsed/>
    <w:qFormat/>
    <w:uiPriority w:val="99"/>
    <w:pPr>
      <w:spacing w:line="408" w:lineRule="atLeast"/>
    </w:pPr>
    <w:rPr>
      <w:rFonts w:hint="default"/>
    </w:rPr>
  </w:style>
  <w:style w:type="paragraph" w:customStyle="1" w:styleId="47">
    <w:name w:val="p0"/>
    <w:basedOn w:val="1"/>
    <w:qFormat/>
    <w:uiPriority w:val="99"/>
    <w:pPr>
      <w:widowControl/>
      <w:jc w:val="left"/>
    </w:pPr>
    <w:rPr>
      <w:rFonts w:cs="宋体"/>
      <w:kern w:val="0"/>
      <w:szCs w:val="21"/>
    </w:rPr>
  </w:style>
  <w:style w:type="paragraph" w:customStyle="1" w:styleId="48">
    <w:name w:val="CM9"/>
    <w:basedOn w:val="32"/>
    <w:next w:val="32"/>
    <w:unhideWhenUsed/>
    <w:qFormat/>
    <w:uiPriority w:val="99"/>
    <w:pPr>
      <w:spacing w:line="408" w:lineRule="atLeast"/>
    </w:pPr>
    <w:rPr>
      <w:rFonts w:hint="default"/>
    </w:rPr>
  </w:style>
  <w:style w:type="paragraph" w:customStyle="1" w:styleId="49">
    <w:name w:val="CM8"/>
    <w:basedOn w:val="32"/>
    <w:next w:val="32"/>
    <w:unhideWhenUsed/>
    <w:qFormat/>
    <w:uiPriority w:val="99"/>
    <w:pPr>
      <w:spacing w:line="408" w:lineRule="atLeast"/>
    </w:pPr>
    <w:rPr>
      <w:rFonts w:hint="default"/>
    </w:rPr>
  </w:style>
  <w:style w:type="paragraph" w:customStyle="1" w:styleId="5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1">
    <w:name w:val="大标题"/>
    <w:basedOn w:val="1"/>
    <w:qFormat/>
    <w:uiPriority w:val="99"/>
    <w:pPr>
      <w:spacing w:beforeLines="100" w:afterLines="50"/>
      <w:jc w:val="center"/>
    </w:pPr>
    <w:rPr>
      <w:rFonts w:eastAsia="方正魏碑简体"/>
      <w:bCs/>
      <w:spacing w:val="20"/>
      <w:sz w:val="72"/>
      <w:szCs w:val="24"/>
    </w:rPr>
  </w:style>
  <w:style w:type="paragraph" w:customStyle="1" w:styleId="52">
    <w:name w:val="_Style 4"/>
    <w:basedOn w:val="1"/>
    <w:qFormat/>
    <w:uiPriority w:val="34"/>
    <w:pPr>
      <w:ind w:firstLine="420" w:firstLineChars="200"/>
    </w:pPr>
  </w:style>
  <w:style w:type="paragraph" w:customStyle="1" w:styleId="53">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4">
    <w:name w:val="Body Text First Indent 2"/>
    <w:basedOn w:val="55"/>
    <w:qFormat/>
    <w:uiPriority w:val="0"/>
    <w:pPr>
      <w:ind w:firstLine="420" w:firstLineChars="200"/>
    </w:pPr>
    <w:rPr>
      <w:kern w:val="2"/>
      <w:sz w:val="21"/>
      <w:szCs w:val="24"/>
    </w:rPr>
  </w:style>
  <w:style w:type="paragraph" w:customStyle="1" w:styleId="55">
    <w:name w:val="Body Text Indent"/>
    <w:basedOn w:val="1"/>
    <w:qFormat/>
    <w:uiPriority w:val="0"/>
    <w:pPr>
      <w:spacing w:after="120" w:afterLines="0"/>
      <w:ind w:left="420" w:leftChars="200"/>
    </w:pPr>
    <w:rPr>
      <w:kern w:val="2"/>
      <w:sz w:val="21"/>
      <w:szCs w:val="24"/>
    </w:rPr>
  </w:style>
  <w:style w:type="paragraph" w:customStyle="1" w:styleId="56">
    <w:name w:val="Plain Text"/>
    <w:basedOn w:val="1"/>
    <w:qFormat/>
    <w:uiPriority w:val="0"/>
    <w:rPr>
      <w:rFonts w:ascii="宋体" w:hAnsi="Courier New" w:eastAsia="宋体" w:cs="Courier New"/>
      <w:kern w:val="2"/>
      <w:sz w:val="21"/>
      <w:szCs w:val="21"/>
      <w:lang w:val="en-US" w:eastAsia="zh-CN"/>
    </w:rPr>
  </w:style>
  <w:style w:type="paragraph" w:customStyle="1" w:styleId="57">
    <w:name w:val="纯文本 Char Char"/>
    <w:basedOn w:val="1"/>
    <w:qFormat/>
    <w:uiPriority w:val="0"/>
    <w:rPr>
      <w:rFonts w:ascii="宋体" w:hAnsi="Courier New" w:cs="Courier New"/>
      <w:szCs w:val="21"/>
    </w:rPr>
  </w:style>
  <w:style w:type="character" w:customStyle="1" w:styleId="58">
    <w:name w:val="标题 6 Char"/>
    <w:link w:val="7"/>
    <w:qFormat/>
    <w:uiPriority w:val="1"/>
    <w:rPr>
      <w:rFonts w:ascii="宋体" w:hAnsi="宋体" w:eastAsia="宋体" w:cs="宋体"/>
      <w:b/>
      <w:bCs/>
      <w:sz w:val="36"/>
      <w:szCs w:val="36"/>
      <w:lang w:val="zh-CN" w:eastAsia="zh-CN" w:bidi="zh-CN"/>
    </w:rPr>
  </w:style>
  <w:style w:type="character" w:customStyle="1" w:styleId="59">
    <w:name w:val="正文文本缩进 Char1"/>
    <w:link w:val="15"/>
    <w:qFormat/>
    <w:uiPriority w:val="0"/>
    <w:rPr>
      <w:kern w:val="2"/>
      <w:sz w:val="21"/>
      <w:szCs w:val="24"/>
    </w:rPr>
  </w:style>
  <w:style w:type="character" w:customStyle="1" w:styleId="60">
    <w:name w:val="标题 4 Char"/>
    <w:link w:val="6"/>
    <w:qFormat/>
    <w:uiPriority w:val="0"/>
    <w:rPr>
      <w:rFonts w:ascii="Arial" w:hAnsi="Arial" w:eastAsia="黑体"/>
      <w:b/>
      <w:sz w:val="28"/>
    </w:rPr>
  </w:style>
  <w:style w:type="character" w:customStyle="1" w:styleId="61">
    <w:name w:val="纯文本 Char"/>
    <w:qFormat/>
    <w:uiPriority w:val="0"/>
    <w:rPr>
      <w:rFonts w:ascii="宋体" w:hAnsi="Courier New" w:eastAsia="宋体" w:cs="Courier New"/>
      <w:kern w:val="2"/>
      <w:sz w:val="21"/>
      <w:szCs w:val="21"/>
    </w:rPr>
  </w:style>
  <w:style w:type="character" w:customStyle="1" w:styleId="62">
    <w:name w:val="font51"/>
    <w:basedOn w:val="27"/>
    <w:qFormat/>
    <w:uiPriority w:val="0"/>
    <w:rPr>
      <w:rFonts w:hint="eastAsia" w:ascii="宋体" w:hAnsi="宋体" w:eastAsia="宋体" w:cs="宋体"/>
      <w:color w:val="000000"/>
      <w:sz w:val="18"/>
      <w:szCs w:val="18"/>
      <w:u w:val="none"/>
    </w:rPr>
  </w:style>
  <w:style w:type="character" w:customStyle="1" w:styleId="63">
    <w:name w:val="font21"/>
    <w:basedOn w:val="27"/>
    <w:qFormat/>
    <w:uiPriority w:val="0"/>
    <w:rPr>
      <w:rFonts w:hint="eastAsia" w:ascii="黑体" w:hAnsi="宋体" w:eastAsia="黑体" w:cs="黑体"/>
      <w:b/>
      <w:color w:val="000000"/>
      <w:sz w:val="28"/>
      <w:szCs w:val="28"/>
      <w:u w:val="none"/>
    </w:rPr>
  </w:style>
  <w:style w:type="character" w:customStyle="1" w:styleId="64">
    <w:name w:val="列出段落 Char"/>
    <w:link w:val="37"/>
    <w:qFormat/>
    <w:locked/>
    <w:uiPriority w:val="0"/>
    <w:rPr>
      <w:rFonts w:ascii="Calibri" w:hAnsi="Calibri" w:eastAsia="宋体" w:cs="Times New Roman"/>
      <w:kern w:val="2"/>
      <w:sz w:val="21"/>
    </w:rPr>
  </w:style>
  <w:style w:type="character" w:customStyle="1" w:styleId="65">
    <w:name w:val="font01"/>
    <w:basedOn w:val="27"/>
    <w:qFormat/>
    <w:uiPriority w:val="0"/>
    <w:rPr>
      <w:rFonts w:ascii="Arial" w:hAnsi="Arial" w:cs="Arial"/>
      <w:b/>
      <w:color w:val="000000"/>
      <w:sz w:val="28"/>
      <w:szCs w:val="28"/>
      <w:u w:val="none"/>
    </w:rPr>
  </w:style>
  <w:style w:type="character" w:customStyle="1" w:styleId="66">
    <w:name w:val="标题 3 Char"/>
    <w:link w:val="5"/>
    <w:qFormat/>
    <w:uiPriority w:val="0"/>
    <w:rPr>
      <w:rFonts w:ascii="Calibri" w:hAnsi="Calibri" w:eastAsia="宋体" w:cs="Times New Roman"/>
      <w:b/>
      <w:bCs/>
      <w:kern w:val="2"/>
      <w:sz w:val="32"/>
      <w:szCs w:val="32"/>
    </w:rPr>
  </w:style>
  <w:style w:type="character" w:customStyle="1" w:styleId="67">
    <w:name w:val="页眉 Char"/>
    <w:link w:val="20"/>
    <w:qFormat/>
    <w:uiPriority w:val="99"/>
    <w:rPr>
      <w:rFonts w:eastAsia="宋体"/>
      <w:kern w:val="2"/>
      <w:sz w:val="18"/>
      <w:szCs w:val="18"/>
    </w:rPr>
  </w:style>
  <w:style w:type="character" w:customStyle="1" w:styleId="68">
    <w:name w:val="正文文本缩进 Char"/>
    <w:semiHidden/>
    <w:qFormat/>
    <w:uiPriority w:val="99"/>
    <w:rPr>
      <w:rFonts w:ascii="Calibri" w:hAnsi="Calibri" w:eastAsia="宋体" w:cs="Times New Roman"/>
      <w:kern w:val="2"/>
      <w:sz w:val="21"/>
    </w:rPr>
  </w:style>
  <w:style w:type="character" w:customStyle="1" w:styleId="69">
    <w:name w:val="纯文本 Char1"/>
    <w:link w:val="17"/>
    <w:qFormat/>
    <w:uiPriority w:val="0"/>
    <w:rPr>
      <w:rFonts w:ascii="宋体" w:hAnsi="Courier New" w:eastAsia="宋体" w:cs="Courier New"/>
      <w:kern w:val="2"/>
      <w:sz w:val="21"/>
      <w:szCs w:val="21"/>
    </w:rPr>
  </w:style>
  <w:style w:type="character" w:customStyle="1" w:styleId="70">
    <w:name w:val="页脚 Char1"/>
    <w:link w:val="19"/>
    <w:qFormat/>
    <w:uiPriority w:val="99"/>
    <w:rPr>
      <w:rFonts w:eastAsia="宋体"/>
      <w:kern w:val="2"/>
      <w:sz w:val="18"/>
      <w:szCs w:val="18"/>
    </w:rPr>
  </w:style>
  <w:style w:type="character" w:customStyle="1" w:styleId="71">
    <w:name w:val="font11"/>
    <w:basedOn w:val="27"/>
    <w:qFormat/>
    <w:uiPriority w:val="0"/>
    <w:rPr>
      <w:rFonts w:hint="eastAsia" w:ascii="宋体" w:hAnsi="宋体" w:eastAsia="宋体" w:cs="宋体"/>
      <w:color w:val="000000"/>
      <w:sz w:val="18"/>
      <w:szCs w:val="18"/>
      <w:u w:val="none"/>
    </w:rPr>
  </w:style>
  <w:style w:type="character" w:customStyle="1" w:styleId="72">
    <w:name w:val="font41"/>
    <w:basedOn w:val="27"/>
    <w:qFormat/>
    <w:uiPriority w:val="0"/>
    <w:rPr>
      <w:rFonts w:hint="default" w:ascii="Times New Roman" w:hAnsi="Times New Roman" w:cs="Times New Roman"/>
      <w:color w:val="000000"/>
      <w:sz w:val="18"/>
      <w:szCs w:val="18"/>
      <w:u w:val="none"/>
    </w:rPr>
  </w:style>
  <w:style w:type="character" w:customStyle="1" w:styleId="73">
    <w:name w:val="页脚 Char"/>
    <w:qFormat/>
    <w:uiPriority w:val="99"/>
    <w:rPr>
      <w:lang w:eastAsia="zh-CN"/>
    </w:rPr>
  </w:style>
  <w:style w:type="character" w:customStyle="1" w:styleId="74">
    <w:name w:val="正文文本 Char"/>
    <w:link w:val="13"/>
    <w:qFormat/>
    <w:uiPriority w:val="0"/>
    <w:rPr>
      <w:kern w:val="2"/>
      <w:sz w:val="21"/>
      <w:szCs w:val="24"/>
    </w:rPr>
  </w:style>
  <w:style w:type="character" w:customStyle="1" w:styleId="75">
    <w:name w:val="正文文本 Char1"/>
    <w:semiHidden/>
    <w:qFormat/>
    <w:uiPriority w:val="99"/>
    <w:rPr>
      <w:rFonts w:ascii="Calibri" w:hAnsi="Calibri" w:eastAsia="宋体" w:cs="Times New Roman"/>
      <w:kern w:val="2"/>
      <w:sz w:val="21"/>
    </w:rPr>
  </w:style>
  <w:style w:type="character" w:customStyle="1" w:styleId="76">
    <w:name w:val="批注框文本 Char"/>
    <w:link w:val="18"/>
    <w:semiHidden/>
    <w:qFormat/>
    <w:uiPriority w:val="99"/>
    <w:rPr>
      <w:rFonts w:eastAsia="宋体"/>
      <w:kern w:val="2"/>
      <w:sz w:val="18"/>
      <w:szCs w:val="18"/>
    </w:rPr>
  </w:style>
  <w:style w:type="paragraph" w:customStyle="1" w:styleId="77">
    <w:name w:val="列出段落11"/>
    <w:basedOn w:val="1"/>
    <w:qFormat/>
    <w:uiPriority w:val="0"/>
    <w:pPr>
      <w:ind w:firstLine="420" w:firstLineChars="200"/>
    </w:pPr>
  </w:style>
  <w:style w:type="paragraph" w:customStyle="1" w:styleId="78">
    <w:name w:val="列表段落1"/>
    <w:basedOn w:val="1"/>
    <w:qFormat/>
    <w:uiPriority w:val="0"/>
    <w:pPr>
      <w:ind w:firstLine="420" w:firstLineChars="200"/>
    </w:pPr>
    <w:rPr>
      <w:rFonts w:ascii="Calibri" w:hAnsi="Calibri"/>
    </w:rPr>
  </w:style>
  <w:style w:type="paragraph" w:customStyle="1" w:styleId="79">
    <w:name w:val="Body text|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4216</Words>
  <Characters>4845</Characters>
  <Lines>604</Lines>
  <Paragraphs>170</Paragraphs>
  <TotalTime>21</TotalTime>
  <ScaleCrop>false</ScaleCrop>
  <LinksUpToDate>false</LinksUpToDate>
  <CharactersWithSpaces>5014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2022-11-15T09:25:35Z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23878488_btnclosed</vt:lpwstr>
  </property>
  <property fmtid="{D5CDD505-2E9C-101B-9397-08002B2CF9AE}" pid="4" name="ICV">
    <vt:lpwstr>040333AB6547426CAE42140F31C207F8</vt:lpwstr>
  </property>
</Properties>
</file>