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beforeAutospacing="0" w:afterAutospacing="0" w:line="360" w:lineRule="auto"/>
        <w:jc w:val="left"/>
        <w:textAlignment w:val="auto"/>
        <w:rPr>
          <w:rFonts w:hint="eastAsia" w:ascii="仿宋_GB2312" w:hAnsi="仿宋_GB2312" w:eastAsia="仿宋_GB2312" w:cs="仿宋_GB2312"/>
          <w:b/>
          <w:bCs w:val="0"/>
          <w:color w:val="auto"/>
          <w:sz w:val="28"/>
          <w:szCs w:val="28"/>
          <w:highlight w:val="none"/>
          <w:u w:val="none"/>
          <w:lang w:val="en-US" w:eastAsia="zh-CN"/>
        </w:rPr>
      </w:pPr>
      <w:r>
        <w:rPr>
          <w:rFonts w:hint="eastAsia" w:ascii="仿宋_GB2312" w:hAnsi="仿宋_GB2312" w:eastAsia="仿宋_GB2312" w:cs="仿宋_GB2312"/>
          <w:b/>
          <w:bCs w:val="0"/>
          <w:color w:val="auto"/>
          <w:sz w:val="28"/>
          <w:szCs w:val="28"/>
          <w:highlight w:val="none"/>
          <w:u w:val="none"/>
          <w:lang w:val="en-US" w:eastAsia="zh-CN"/>
        </w:rPr>
        <w:t>附表一</w:t>
      </w:r>
    </w:p>
    <w:p>
      <w:pPr>
        <w:widowControl w:val="0"/>
        <w:ind w:firstLine="0"/>
        <w:jc w:val="center"/>
        <w:rPr>
          <w:rFonts w:hint="eastAsia" w:ascii="宋体" w:hAnsi="宋体" w:eastAsia="宋体" w:cs="宋体"/>
          <w:b/>
          <w:bCs/>
          <w:color w:val="auto"/>
          <w:kern w:val="0"/>
          <w:sz w:val="32"/>
          <w:szCs w:val="32"/>
          <w:highlight w:val="none"/>
          <w:lang w:val="en-US" w:eastAsia="zh-CN" w:bidi="ar-SA"/>
        </w:rPr>
      </w:pPr>
      <w:r>
        <w:rPr>
          <w:rFonts w:hint="eastAsia" w:ascii="宋体" w:hAnsi="宋体" w:cs="宋体"/>
          <w:b/>
          <w:bCs/>
          <w:color w:val="auto"/>
          <w:kern w:val="0"/>
          <w:sz w:val="28"/>
          <w:szCs w:val="28"/>
          <w:highlight w:val="none"/>
          <w:lang w:val="en-US" w:eastAsia="zh-CN" w:bidi="ar-SA"/>
        </w:rPr>
        <w:t>四川巴中至南部高速公路2022年土路肩硬化工程施工分包项目</w:t>
      </w:r>
      <w:r>
        <w:rPr>
          <w:rFonts w:hint="eastAsia" w:ascii="宋体" w:hAnsi="宋体" w:eastAsia="宋体" w:cs="宋体"/>
          <w:b/>
          <w:bCs/>
          <w:color w:val="auto"/>
          <w:kern w:val="0"/>
          <w:sz w:val="28"/>
          <w:szCs w:val="28"/>
          <w:highlight w:val="none"/>
          <w:lang w:val="en-US" w:eastAsia="zh-CN" w:bidi="ar-SA"/>
        </w:rPr>
        <w:t>工程标段划分、工期规模、工期统计表</w:t>
      </w:r>
    </w:p>
    <w:p>
      <w:pPr>
        <w:widowControl w:val="0"/>
        <w:spacing w:line="360" w:lineRule="auto"/>
        <w:ind w:left="0" w:leftChars="0" w:firstLine="0" w:firstLineChars="0"/>
        <w:jc w:val="center"/>
        <w:rPr>
          <w:rFonts w:hint="eastAsia" w:ascii="仿宋" w:hAnsi="仿宋" w:eastAsia="仿宋" w:cs="Times New Roman"/>
          <w:color w:val="auto"/>
          <w:kern w:val="0"/>
          <w:sz w:val="20"/>
          <w:szCs w:val="22"/>
          <w:highlight w:val="none"/>
          <w:lang w:val="en-US" w:eastAsia="zh-CN" w:bidi="ar-SA"/>
        </w:rPr>
      </w:pPr>
    </w:p>
    <w:tbl>
      <w:tblPr>
        <w:tblStyle w:val="3"/>
        <w:tblW w:w="1025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1295"/>
        <w:gridCol w:w="1740"/>
        <w:gridCol w:w="1515"/>
        <w:gridCol w:w="2352"/>
        <w:gridCol w:w="1505"/>
        <w:gridCol w:w="184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1059" w:hRule="exact"/>
          <w:jc w:val="center"/>
        </w:trPr>
        <w:tc>
          <w:tcPr>
            <w:tcW w:w="1295"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eastAsia" w:ascii="宋体" w:hAnsi="宋体" w:eastAsia="宋体" w:cs="宋体"/>
                <w:b/>
                <w:bCs/>
                <w:color w:val="000000"/>
                <w:kern w:val="0"/>
                <w:sz w:val="18"/>
                <w:szCs w:val="18"/>
                <w:highlight w:val="none"/>
                <w:lang w:val="en-US" w:eastAsia="zh-CN" w:bidi="ar-SA"/>
              </w:rPr>
            </w:pPr>
            <w:r>
              <w:rPr>
                <w:rFonts w:hint="eastAsia" w:ascii="宋体" w:hAnsi="宋体" w:eastAsia="宋体" w:cs="宋体"/>
                <w:b/>
                <w:bCs/>
                <w:color w:val="000000"/>
                <w:kern w:val="0"/>
                <w:sz w:val="18"/>
                <w:szCs w:val="18"/>
                <w:highlight w:val="none"/>
                <w:lang w:val="en-US" w:eastAsia="zh-CN"/>
              </w:rPr>
              <w:t>施工阶段</w:t>
            </w:r>
          </w:p>
        </w:tc>
        <w:tc>
          <w:tcPr>
            <w:tcW w:w="1740"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lang w:eastAsia="zh-CN"/>
              </w:rPr>
              <w:t>施工段落</w:t>
            </w:r>
          </w:p>
        </w:tc>
        <w:tc>
          <w:tcPr>
            <w:tcW w:w="1515"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eastAsia" w:ascii="宋体" w:hAnsi="宋体" w:eastAsia="宋体" w:cs="宋体"/>
                <w:b/>
                <w:bCs/>
                <w:color w:val="000000"/>
                <w:kern w:val="0"/>
                <w:sz w:val="18"/>
                <w:szCs w:val="18"/>
                <w:highlight w:val="none"/>
                <w:lang w:val="en-US" w:eastAsia="zh-CN"/>
              </w:rPr>
            </w:pPr>
            <w:r>
              <w:rPr>
                <w:rFonts w:hint="eastAsia" w:ascii="宋体" w:hAnsi="宋体" w:eastAsia="宋体" w:cs="宋体"/>
                <w:b/>
                <w:bCs/>
                <w:color w:val="000000"/>
                <w:kern w:val="0"/>
                <w:sz w:val="18"/>
                <w:szCs w:val="18"/>
                <w:highlight w:val="none"/>
                <w:lang w:val="en-US" w:eastAsia="zh-CN"/>
              </w:rPr>
              <w:t>里程(km)</w:t>
            </w:r>
          </w:p>
        </w:tc>
        <w:tc>
          <w:tcPr>
            <w:tcW w:w="2352" w:type="dxa"/>
            <w:tcBorders>
              <w:tl2br w:val="nil"/>
              <w:tr2bl w:val="nil"/>
            </w:tcBorders>
            <w:shd w:val="clear" w:color="auto" w:fill="FFFFFF" w:themeFill="background1"/>
            <w:tcMar>
              <w:top w:w="15" w:type="dxa"/>
              <w:left w:w="15" w:type="dxa"/>
              <w:right w:w="15" w:type="dxa"/>
            </w:tcMar>
            <w:vAlign w:val="center"/>
          </w:tcPr>
          <w:p>
            <w:pPr>
              <w:widowControl/>
              <w:tabs>
                <w:tab w:val="left" w:pos="416"/>
              </w:tabs>
              <w:jc w:val="center"/>
              <w:textAlignment w:val="center"/>
              <w:rPr>
                <w:rFonts w:hint="eastAsia" w:ascii="宋体" w:hAnsi="宋体" w:eastAsia="宋体" w:cs="宋体"/>
                <w:b/>
                <w:bCs/>
                <w:color w:val="000000"/>
                <w:kern w:val="0"/>
                <w:sz w:val="18"/>
                <w:szCs w:val="18"/>
                <w:highlight w:val="none"/>
                <w:lang w:val="en-US" w:eastAsia="zh-CN"/>
              </w:rPr>
            </w:pPr>
            <w:r>
              <w:rPr>
                <w:rFonts w:hint="eastAsia" w:ascii="宋体" w:hAnsi="宋体" w:eastAsia="宋体" w:cs="宋体"/>
                <w:b/>
                <w:bCs/>
                <w:color w:val="000000"/>
                <w:kern w:val="0"/>
                <w:sz w:val="18"/>
                <w:szCs w:val="18"/>
                <w:highlight w:val="none"/>
                <w:lang w:val="en-US" w:eastAsia="zh-CN"/>
              </w:rPr>
              <w:t>主要工作内容</w:t>
            </w:r>
          </w:p>
        </w:tc>
        <w:tc>
          <w:tcPr>
            <w:tcW w:w="1505"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eastAsia" w:ascii="宋体" w:hAnsi="宋体" w:eastAsia="宋体" w:cs="宋体"/>
                <w:b/>
                <w:bCs/>
                <w:color w:val="000000"/>
                <w:kern w:val="0"/>
                <w:sz w:val="18"/>
                <w:szCs w:val="18"/>
                <w:highlight w:val="none"/>
                <w:lang w:val="en-US" w:eastAsia="zh-CN"/>
              </w:rPr>
            </w:pPr>
            <w:r>
              <w:rPr>
                <w:rFonts w:hint="eastAsia" w:ascii="宋体" w:hAnsi="宋体" w:eastAsia="宋体" w:cs="宋体"/>
                <w:b/>
                <w:bCs/>
                <w:color w:val="000000"/>
                <w:kern w:val="0"/>
                <w:sz w:val="18"/>
                <w:szCs w:val="18"/>
                <w:highlight w:val="none"/>
                <w:lang w:val="en-US" w:eastAsia="zh-CN"/>
              </w:rPr>
              <w:t>工期</w:t>
            </w:r>
          </w:p>
        </w:tc>
        <w:tc>
          <w:tcPr>
            <w:tcW w:w="1848"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2005" w:hRule="exact"/>
          <w:jc w:val="center"/>
        </w:trPr>
        <w:tc>
          <w:tcPr>
            <w:tcW w:w="1295"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第</w:t>
            </w:r>
            <w:r>
              <w:rPr>
                <w:rFonts w:hint="eastAsia" w:ascii="宋体" w:hAnsi="宋体" w:cs="宋体"/>
                <w:color w:val="000000" w:themeColor="text1"/>
                <w:kern w:val="0"/>
                <w:sz w:val="18"/>
                <w:szCs w:val="18"/>
                <w:lang w:val="en-US" w:eastAsia="zh-CN"/>
                <w14:textFill>
                  <w14:solidFill>
                    <w14:schemeClr w14:val="tx1"/>
                  </w14:solidFill>
                </w14:textFill>
              </w:rPr>
              <w:t>一</w:t>
            </w:r>
            <w:r>
              <w:rPr>
                <w:rFonts w:hint="eastAsia" w:ascii="宋体" w:hAnsi="宋体" w:eastAsia="宋体" w:cs="宋体"/>
                <w:color w:val="000000" w:themeColor="text1"/>
                <w:kern w:val="0"/>
                <w:sz w:val="18"/>
                <w:szCs w:val="18"/>
                <w:lang w:val="en-US" w:eastAsia="zh-CN"/>
                <w14:textFill>
                  <w14:solidFill>
                    <w14:schemeClr w14:val="tx1"/>
                  </w14:solidFill>
                </w14:textFill>
              </w:rPr>
              <w:t>阶段</w:t>
            </w:r>
          </w:p>
        </w:tc>
        <w:tc>
          <w:tcPr>
            <w:tcW w:w="1740"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巴南高速公路</w:t>
            </w:r>
          </w:p>
        </w:tc>
        <w:tc>
          <w:tcPr>
            <w:tcW w:w="1515"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87km</w:t>
            </w:r>
          </w:p>
        </w:tc>
        <w:tc>
          <w:tcPr>
            <w:tcW w:w="2352"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土路肩硬化。</w:t>
            </w:r>
          </w:p>
        </w:tc>
        <w:tc>
          <w:tcPr>
            <w:tcW w:w="1505"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bidi="ar-SA"/>
                <w14:textFill>
                  <w14:solidFill>
                    <w14:schemeClr w14:val="tx1"/>
                  </w14:solidFill>
                </w14:textFill>
              </w:rPr>
              <w:t>2</w:t>
            </w:r>
            <w:r>
              <w:rPr>
                <w:rFonts w:hint="eastAsia" w:ascii="宋体" w:hAnsi="宋体" w:eastAsia="宋体" w:cs="宋体"/>
                <w:color w:val="000000" w:themeColor="text1"/>
                <w:kern w:val="0"/>
                <w:sz w:val="18"/>
                <w:szCs w:val="18"/>
                <w:lang w:val="en-US" w:eastAsia="zh-CN" w:bidi="ar-SA"/>
                <w14:textFill>
                  <w14:solidFill>
                    <w14:schemeClr w14:val="tx1"/>
                  </w14:solidFill>
                </w14:textFill>
              </w:rPr>
              <w:t>个月</w:t>
            </w:r>
          </w:p>
        </w:tc>
        <w:tc>
          <w:tcPr>
            <w:tcW w:w="1848"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p>
        </w:tc>
      </w:tr>
    </w:tbl>
    <w:p>
      <w:pPr>
        <w:widowControl w:val="0"/>
        <w:ind w:firstLine="570"/>
        <w:jc w:val="both"/>
        <w:rPr>
          <w:rFonts w:hint="eastAsia" w:ascii="宋体" w:hAnsi="宋体" w:eastAsia="宋体" w:cs="宋体"/>
          <w:b/>
          <w:color w:val="auto"/>
          <w:kern w:val="0"/>
          <w:sz w:val="28"/>
          <w:szCs w:val="28"/>
          <w:highlight w:val="none"/>
          <w:lang w:val="en-US" w:eastAsia="zh-CN" w:bidi="ar-SA"/>
        </w:rPr>
      </w:pPr>
    </w:p>
    <w:p>
      <w:pPr>
        <w:rPr>
          <w:rFonts w:hint="eastAsia" w:ascii="宋体" w:hAnsi="宋体" w:eastAsia="宋体" w:cs="宋体"/>
          <w:b/>
          <w:color w:val="auto"/>
          <w:sz w:val="28"/>
          <w:szCs w:val="28"/>
          <w:highlight w:val="none"/>
          <w:lang w:val="en-US" w:eastAsia="zh-CN"/>
        </w:rPr>
      </w:pPr>
    </w:p>
    <w:p>
      <w:pPr>
        <w:widowControl w:val="0"/>
        <w:ind w:firstLine="570"/>
        <w:jc w:val="both"/>
        <w:rPr>
          <w:rFonts w:hint="eastAsia" w:ascii="宋体" w:hAnsi="宋体" w:eastAsia="宋体" w:cs="宋体"/>
          <w:b/>
          <w:color w:val="auto"/>
          <w:kern w:val="0"/>
          <w:sz w:val="28"/>
          <w:szCs w:val="28"/>
          <w:highlight w:val="none"/>
          <w:lang w:val="en-US" w:eastAsia="zh-CN" w:bidi="ar-SA"/>
        </w:rPr>
      </w:pPr>
    </w:p>
    <w:p>
      <w:pPr>
        <w:rPr>
          <w:rFonts w:hint="eastAsia" w:ascii="宋体" w:hAnsi="宋体" w:eastAsia="宋体" w:cs="宋体"/>
          <w:b/>
          <w:color w:val="auto"/>
          <w:sz w:val="28"/>
          <w:szCs w:val="28"/>
          <w:highlight w:val="none"/>
          <w:lang w:val="en-US" w:eastAsia="zh-CN"/>
        </w:rPr>
        <w:sectPr>
          <w:headerReference r:id="rId3" w:type="default"/>
          <w:footerReference r:id="rId4" w:type="default"/>
          <w:pgSz w:w="11920" w:h="16840"/>
          <w:pgMar w:top="2560" w:right="900" w:bottom="600" w:left="820" w:header="1641" w:footer="409" w:gutter="0"/>
          <w:pgBorders>
            <w:top w:val="none" w:sz="0" w:space="0"/>
            <w:left w:val="none" w:sz="0" w:space="0"/>
            <w:bottom w:val="none" w:sz="0" w:space="0"/>
            <w:right w:val="none" w:sz="0" w:space="0"/>
          </w:pgBorders>
          <w:pgNumType w:start="10"/>
          <w:cols w:space="720" w:num="1"/>
        </w:sectPr>
      </w:pPr>
    </w:p>
    <w:p>
      <w:pPr>
        <w:keepNext w:val="0"/>
        <w:keepLines w:val="0"/>
        <w:pageBreakBefore w:val="0"/>
        <w:widowControl w:val="0"/>
        <w:kinsoku/>
        <w:wordWrap/>
        <w:overflowPunct/>
        <w:topLinePunct w:val="0"/>
        <w:autoSpaceDE/>
        <w:autoSpaceDN/>
        <w:bidi w:val="0"/>
        <w:adjustRightInd/>
        <w:snapToGrid/>
        <w:ind w:left="0" w:leftChars="0" w:firstLine="562" w:firstLineChars="200"/>
        <w:jc w:val="left"/>
        <w:textAlignment w:val="auto"/>
        <w:rPr>
          <w:rFonts w:hint="eastAsia" w:ascii="宋体" w:hAnsi="宋体" w:eastAsia="宋体" w:cs="宋体"/>
          <w:b/>
          <w:color w:val="auto"/>
          <w:kern w:val="0"/>
          <w:sz w:val="28"/>
          <w:szCs w:val="28"/>
          <w:highlight w:val="none"/>
          <w:lang w:val="en-US" w:eastAsia="zh-CN" w:bidi="ar-SA"/>
        </w:rPr>
      </w:pPr>
      <w:r>
        <w:rPr>
          <w:rFonts w:hint="eastAsia" w:ascii="宋体" w:hAnsi="宋体" w:eastAsia="宋体" w:cs="宋体"/>
          <w:b/>
          <w:color w:val="auto"/>
          <w:kern w:val="0"/>
          <w:sz w:val="28"/>
          <w:szCs w:val="28"/>
          <w:highlight w:val="none"/>
          <w:lang w:val="en-US" w:eastAsia="zh-CN" w:bidi="ar-SA"/>
        </w:rPr>
        <w:t>附表二</w:t>
      </w:r>
    </w:p>
    <w:p>
      <w:pPr>
        <w:rPr>
          <w:rFonts w:hint="eastAsia" w:ascii="宋体" w:hAnsi="宋体" w:eastAsia="宋体" w:cs="宋体"/>
        </w:rPr>
      </w:pPr>
    </w:p>
    <w:p>
      <w:pPr>
        <w:widowControl w:val="0"/>
        <w:spacing w:line="360" w:lineRule="auto"/>
        <w:ind w:left="0" w:leftChars="0" w:firstLine="0" w:firstLineChars="0"/>
        <w:jc w:val="center"/>
        <w:rPr>
          <w:rFonts w:hint="eastAsia" w:ascii="宋体" w:hAnsi="宋体" w:eastAsia="宋体" w:cs="宋体"/>
          <w:b/>
          <w:bCs/>
          <w:color w:val="auto"/>
          <w:kern w:val="0"/>
          <w:sz w:val="28"/>
          <w:szCs w:val="28"/>
          <w:highlight w:val="none"/>
          <w:lang w:val="en-US" w:eastAsia="zh-CN" w:bidi="ar-SA"/>
        </w:rPr>
      </w:pPr>
      <w:r>
        <w:rPr>
          <w:rFonts w:hint="eastAsia" w:ascii="宋体" w:hAnsi="宋体" w:cs="宋体"/>
          <w:b/>
          <w:bCs/>
          <w:color w:val="auto"/>
          <w:kern w:val="0"/>
          <w:sz w:val="28"/>
          <w:szCs w:val="28"/>
          <w:highlight w:val="none"/>
          <w:lang w:val="en-US" w:eastAsia="zh-CN" w:bidi="ar-SA"/>
        </w:rPr>
        <w:t>四川巴中至南部高速公路2022年土路肩硬化工程施工分包项</w:t>
      </w:r>
      <w:r>
        <w:rPr>
          <w:rFonts w:hint="eastAsia" w:ascii="宋体" w:hAnsi="宋体" w:eastAsia="宋体" w:cs="宋体"/>
          <w:b/>
          <w:bCs/>
          <w:color w:val="auto"/>
          <w:kern w:val="0"/>
          <w:sz w:val="28"/>
          <w:szCs w:val="28"/>
          <w:highlight w:val="none"/>
          <w:lang w:val="en-US" w:eastAsia="zh-CN" w:bidi="ar-SA"/>
        </w:rPr>
        <w:t>目</w:t>
      </w:r>
    </w:p>
    <w:p>
      <w:pPr>
        <w:widowControl w:val="0"/>
        <w:spacing w:line="360" w:lineRule="auto"/>
        <w:ind w:left="0" w:leftChars="0" w:firstLine="0" w:firstLineChars="0"/>
        <w:jc w:val="center"/>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工程施工企业资质等级要求、业绩基本要求</w:t>
      </w:r>
    </w:p>
    <w:p>
      <w:pPr>
        <w:rPr>
          <w:rFonts w:hint="eastAsia" w:ascii="宋体" w:hAnsi="宋体" w:eastAsia="宋体" w:cs="宋体"/>
        </w:rPr>
      </w:pPr>
    </w:p>
    <w:tbl>
      <w:tblPr>
        <w:tblStyle w:val="3"/>
        <w:tblpPr w:leftFromText="180" w:rightFromText="180" w:vertAnchor="text" w:horzAnchor="page" w:tblpX="1280" w:tblpY="89"/>
        <w:tblOverlap w:val="never"/>
        <w:tblW w:w="10304" w:type="dxa"/>
        <w:jc w:val="center"/>
        <w:tblLayout w:type="fixed"/>
        <w:tblCellMar>
          <w:top w:w="0" w:type="dxa"/>
          <w:left w:w="0" w:type="dxa"/>
          <w:bottom w:w="0" w:type="dxa"/>
          <w:right w:w="0" w:type="dxa"/>
        </w:tblCellMar>
      </w:tblPr>
      <w:tblGrid>
        <w:gridCol w:w="527"/>
        <w:gridCol w:w="1421"/>
        <w:gridCol w:w="1931"/>
        <w:gridCol w:w="2378"/>
        <w:gridCol w:w="3076"/>
        <w:gridCol w:w="971"/>
      </w:tblGrid>
      <w:tr>
        <w:trPr>
          <w:trHeight w:val="480" w:hRule="atLeast"/>
          <w:tblHeader/>
          <w:jc w:val="center"/>
        </w:trPr>
        <w:tc>
          <w:tcPr>
            <w:tcW w:w="52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序号</w:t>
            </w:r>
          </w:p>
        </w:tc>
        <w:tc>
          <w:tcPr>
            <w:tcW w:w="1421"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分段名称</w:t>
            </w:r>
          </w:p>
        </w:tc>
        <w:tc>
          <w:tcPr>
            <w:tcW w:w="1931"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施工地点</w:t>
            </w:r>
          </w:p>
        </w:tc>
        <w:tc>
          <w:tcPr>
            <w:tcW w:w="2378"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施工企业资质等级要求</w:t>
            </w:r>
          </w:p>
        </w:tc>
        <w:tc>
          <w:tcPr>
            <w:tcW w:w="307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业绩基本要求</w:t>
            </w:r>
          </w:p>
        </w:tc>
        <w:tc>
          <w:tcPr>
            <w:tcW w:w="971"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备注</w:t>
            </w:r>
          </w:p>
        </w:tc>
      </w:tr>
      <w:tr>
        <w:tblPrEx>
          <w:tblCellMar>
            <w:top w:w="0" w:type="dxa"/>
            <w:left w:w="0" w:type="dxa"/>
            <w:bottom w:w="0" w:type="dxa"/>
            <w:right w:w="0" w:type="dxa"/>
          </w:tblCellMar>
        </w:tblPrEx>
        <w:trPr>
          <w:trHeight w:val="500" w:hRule="atLeast"/>
          <w:tblHeader/>
          <w:jc w:val="center"/>
        </w:trPr>
        <w:tc>
          <w:tcPr>
            <w:tcW w:w="52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p>
        </w:tc>
        <w:tc>
          <w:tcPr>
            <w:tcW w:w="142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p>
        </w:tc>
        <w:tc>
          <w:tcPr>
            <w:tcW w:w="193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p>
        </w:tc>
        <w:tc>
          <w:tcPr>
            <w:tcW w:w="2378"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p>
        </w:tc>
        <w:tc>
          <w:tcPr>
            <w:tcW w:w="307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p>
        </w:tc>
        <w:tc>
          <w:tcPr>
            <w:tcW w:w="97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p>
        </w:tc>
      </w:tr>
      <w:tr>
        <w:tblPrEx>
          <w:tblCellMar>
            <w:top w:w="0" w:type="dxa"/>
            <w:left w:w="0" w:type="dxa"/>
            <w:bottom w:w="0" w:type="dxa"/>
            <w:right w:w="0" w:type="dxa"/>
          </w:tblCellMar>
        </w:tblPrEx>
        <w:trPr>
          <w:trHeight w:val="2390" w:hRule="atLeast"/>
          <w:jc w:val="center"/>
        </w:trPr>
        <w:tc>
          <w:tcPr>
            <w:tcW w:w="5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val="0"/>
              <w:ind w:left="0" w:leftChars="0" w:firstLine="0" w:firstLineChars="0"/>
              <w:jc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w:t>
            </w:r>
          </w:p>
        </w:tc>
        <w:tc>
          <w:tcPr>
            <w:tcW w:w="142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cs="宋体"/>
                <w:color w:val="auto"/>
                <w:kern w:val="0"/>
                <w:sz w:val="18"/>
                <w:szCs w:val="18"/>
                <w:highlight w:val="none"/>
                <w:lang w:val="en-US" w:eastAsia="zh-CN" w:bidi="ar"/>
              </w:rPr>
              <w:t>2022-CB-13</w:t>
            </w:r>
          </w:p>
        </w:tc>
        <w:tc>
          <w:tcPr>
            <w:tcW w:w="19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cs="宋体"/>
                <w:color w:val="000000" w:themeColor="text1"/>
                <w:kern w:val="0"/>
                <w:sz w:val="18"/>
                <w:szCs w:val="18"/>
                <w:lang w:val="en-US" w:eastAsia="zh-CN"/>
                <w14:textFill>
                  <w14:solidFill>
                    <w14:schemeClr w14:val="tx1"/>
                  </w14:solidFill>
                </w14:textFill>
              </w:rPr>
              <w:t>巴南高速公路</w:t>
            </w:r>
          </w:p>
        </w:tc>
        <w:tc>
          <w:tcPr>
            <w:tcW w:w="237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具有政府主管部门颁布的公路工程施工总承包叁级及以上或施工劳务资质。</w:t>
            </w:r>
          </w:p>
        </w:tc>
        <w:tc>
          <w:tcPr>
            <w:tcW w:w="30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5年内（2017年</w:t>
            </w:r>
            <w:r>
              <w:rPr>
                <w:rFonts w:hint="eastAsia" w:ascii="宋体" w:hAnsi="宋体" w:cs="宋体"/>
                <w:color w:val="auto"/>
                <w:kern w:val="0"/>
                <w:sz w:val="20"/>
                <w:szCs w:val="20"/>
                <w:highlight w:val="none"/>
                <w:lang w:val="en-US" w:eastAsia="zh-CN" w:bidi="ar"/>
              </w:rPr>
              <w:t>10</w:t>
            </w:r>
            <w:r>
              <w:rPr>
                <w:rFonts w:hint="eastAsia" w:ascii="宋体" w:hAnsi="宋体" w:eastAsia="宋体" w:cs="宋体"/>
                <w:color w:val="auto"/>
                <w:kern w:val="0"/>
                <w:sz w:val="20"/>
                <w:szCs w:val="20"/>
                <w:highlight w:val="none"/>
                <w:lang w:val="en-US" w:eastAsia="zh-CN" w:bidi="ar"/>
              </w:rPr>
              <w:t>月1日至今，以合同签订时间为准）具有相同或类似的的</w:t>
            </w:r>
            <w:r>
              <w:rPr>
                <w:rFonts w:hint="eastAsia" w:ascii="宋体" w:hAnsi="宋体" w:cs="宋体"/>
                <w:color w:val="auto"/>
                <w:kern w:val="0"/>
                <w:sz w:val="20"/>
                <w:szCs w:val="20"/>
                <w:highlight w:val="none"/>
                <w:lang w:val="en-US" w:eastAsia="zh-CN" w:bidi="ar"/>
              </w:rPr>
              <w:t>已完工或未完工路基</w:t>
            </w:r>
            <w:r>
              <w:rPr>
                <w:rFonts w:hint="eastAsia" w:ascii="宋体" w:hAnsi="宋体" w:eastAsia="宋体" w:cs="宋体"/>
                <w:color w:val="auto"/>
                <w:kern w:val="0"/>
                <w:sz w:val="20"/>
                <w:szCs w:val="20"/>
                <w:highlight w:val="none"/>
                <w:lang w:val="en-US" w:eastAsia="zh-CN" w:bidi="ar"/>
              </w:rPr>
              <w:t>（可由1个业绩同时满足或者多个业绩分别满足）施工业绩不少于1个。</w:t>
            </w:r>
          </w:p>
        </w:tc>
        <w:tc>
          <w:tcPr>
            <w:tcW w:w="9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
              </w:rPr>
            </w:pPr>
          </w:p>
        </w:tc>
      </w:tr>
    </w:tbl>
    <w:p>
      <w:pPr>
        <w:rPr>
          <w:rFonts w:hint="eastAsia"/>
          <w:lang w:val="en-US" w:eastAsia="zh-CN"/>
        </w:rPr>
        <w:sectPr>
          <w:pgSz w:w="11920" w:h="16840"/>
          <w:pgMar w:top="2560" w:right="900" w:bottom="600" w:left="820" w:header="1641" w:footer="409" w:gutter="0"/>
          <w:pgBorders>
            <w:top w:val="none" w:sz="0" w:space="0"/>
            <w:left w:val="none" w:sz="0" w:space="0"/>
            <w:bottom w:val="none" w:sz="0" w:space="0"/>
            <w:right w:val="none" w:sz="0" w:space="0"/>
          </w:pgBorders>
          <w:pgNumType w:start="10"/>
          <w:cols w:space="720" w:num="1"/>
        </w:sectPr>
      </w:pPr>
    </w:p>
    <w:p>
      <w:pPr>
        <w:jc w:val="left"/>
        <w:rPr>
          <w:rStyle w:val="5"/>
          <w:rFonts w:hint="default" w:ascii="Times New Roman" w:hAnsi="Times New Roman" w:cs="Times New Roman"/>
          <w:b/>
          <w:bCs/>
          <w:color w:val="auto"/>
          <w:sz w:val="28"/>
          <w:szCs w:val="28"/>
          <w:highlight w:val="none"/>
          <w:u w:val="none"/>
          <w:lang w:val="en-US" w:eastAsia="zh-CN" w:bidi="ar"/>
        </w:rPr>
      </w:pPr>
      <w:r>
        <w:rPr>
          <w:rStyle w:val="5"/>
          <w:rFonts w:hint="eastAsia"/>
          <w:b/>
          <w:bCs/>
          <w:color w:val="auto"/>
          <w:sz w:val="28"/>
          <w:szCs w:val="28"/>
          <w:highlight w:val="none"/>
          <w:u w:val="none"/>
          <w:lang w:val="en-US" w:eastAsia="zh-CN" w:bidi="ar"/>
        </w:rPr>
        <w:t>附表三</w:t>
      </w:r>
    </w:p>
    <w:p>
      <w:pPr>
        <w:widowControl w:val="0"/>
        <w:ind w:firstLine="570"/>
        <w:jc w:val="both"/>
        <w:rPr>
          <w:rFonts w:hint="eastAsia" w:ascii="仿宋" w:hAnsi="仿宋" w:eastAsia="仿宋" w:cs="Times New Roman"/>
          <w:kern w:val="0"/>
          <w:sz w:val="20"/>
          <w:szCs w:val="22"/>
          <w:lang w:val="en-US" w:eastAsia="zh-CN" w:bidi="ar-SA"/>
        </w:rPr>
      </w:pPr>
    </w:p>
    <w:tbl>
      <w:tblPr>
        <w:tblStyle w:val="3"/>
        <w:tblpPr w:leftFromText="180" w:rightFromText="180" w:vertAnchor="text" w:tblpXSpec="center" w:tblpY="1"/>
        <w:tblOverlap w:val="never"/>
        <w:tblW w:w="9747" w:type="dxa"/>
        <w:jc w:val="center"/>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07"/>
        <w:gridCol w:w="2369"/>
        <w:gridCol w:w="3270"/>
        <w:gridCol w:w="1005"/>
        <w:gridCol w:w="2196"/>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37" w:hRule="atLeast"/>
          <w:jc w:val="center"/>
        </w:trPr>
        <w:tc>
          <w:tcPr>
            <w:tcW w:w="9747" w:type="dxa"/>
            <w:gridSpan w:val="5"/>
            <w:tcBorders>
              <w:bottom w:val="single" w:color="auto" w:sz="4" w:space="0"/>
              <w:tl2br w:val="nil"/>
              <w:tr2bl w:val="nil"/>
            </w:tcBorders>
            <w:noWrap w:val="0"/>
            <w:tcMar>
              <w:top w:w="15" w:type="dxa"/>
              <w:left w:w="15" w:type="dxa"/>
              <w:right w:w="15" w:type="dxa"/>
            </w:tcMar>
            <w:vAlign w:val="center"/>
          </w:tcPr>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beforeAutospacing="0" w:afterAutospacing="0" w:line="360" w:lineRule="auto"/>
              <w:jc w:val="center"/>
              <w:textAlignment w:val="auto"/>
              <w:rPr>
                <w:rFonts w:hint="eastAsia" w:ascii="仿宋_GB2312" w:hAnsi="仿宋_GB2312" w:eastAsia="仿宋_GB2312" w:cs="仿宋_GB2312"/>
                <w:b/>
                <w:bCs w:val="0"/>
                <w:color w:val="auto"/>
                <w:kern w:val="10"/>
                <w:sz w:val="28"/>
                <w:szCs w:val="28"/>
                <w:highlight w:val="none"/>
                <w:u w:val="none"/>
                <w:lang w:val="en-US" w:eastAsia="zh-CN"/>
              </w:rPr>
            </w:pPr>
            <w:r>
              <w:rPr>
                <w:rFonts w:hint="eastAsia" w:ascii="仿宋_GB2312" w:hAnsi="仿宋_GB2312" w:eastAsia="仿宋_GB2312" w:cs="仿宋_GB2312"/>
                <w:b/>
                <w:bCs w:val="0"/>
                <w:color w:val="auto"/>
                <w:kern w:val="10"/>
                <w:sz w:val="28"/>
                <w:szCs w:val="28"/>
                <w:highlight w:val="none"/>
                <w:u w:val="none"/>
                <w:lang w:val="en-US" w:eastAsia="zh-CN"/>
              </w:rPr>
              <w:t>四川巴中至南部高速公路2022年土路肩硬化工程劳务</w:t>
            </w:r>
          </w:p>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beforeAutospacing="0" w:afterAutospacing="0" w:line="360" w:lineRule="auto"/>
              <w:jc w:val="center"/>
              <w:textAlignment w:val="auto"/>
              <w:rPr>
                <w:rFonts w:hint="eastAsia" w:ascii="宋体" w:hAnsi="宋体" w:eastAsia="宋体" w:cs="宋体"/>
                <w:b/>
                <w:i w:val="0"/>
                <w:color w:val="auto"/>
                <w:sz w:val="28"/>
                <w:szCs w:val="28"/>
                <w:highlight w:val="none"/>
                <w:u w:val="none"/>
              </w:rPr>
            </w:pPr>
            <w:r>
              <w:rPr>
                <w:rFonts w:hint="eastAsia" w:ascii="仿宋_GB2312" w:hAnsi="仿宋_GB2312" w:eastAsia="仿宋_GB2312" w:cs="仿宋_GB2312"/>
                <w:b/>
                <w:bCs w:val="0"/>
                <w:color w:val="auto"/>
                <w:kern w:val="10"/>
                <w:sz w:val="28"/>
                <w:szCs w:val="28"/>
                <w:highlight w:val="none"/>
                <w:u w:val="none"/>
                <w:lang w:val="en-US" w:eastAsia="zh-CN"/>
              </w:rPr>
              <w:t>合作项目人员要求表</w:t>
            </w:r>
            <w:r>
              <w:rPr>
                <w:rFonts w:hint="eastAsia" w:ascii="仿宋" w:hAnsi="仿宋" w:eastAsia="仿宋" w:cs="仿宋"/>
                <w:b/>
                <w:i w:val="0"/>
                <w:color w:val="auto"/>
                <w:kern w:val="0"/>
                <w:sz w:val="28"/>
                <w:szCs w:val="28"/>
                <w:highlight w:val="none"/>
                <w:u w:val="none"/>
                <w:lang w:val="en-US" w:eastAsia="zh-CN" w:bidi="ar"/>
              </w:rPr>
              <w:t>(最低要求）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jc w:val="center"/>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23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 种</w:t>
            </w:r>
          </w:p>
        </w:tc>
        <w:tc>
          <w:tcPr>
            <w:tcW w:w="32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工作任务</w:t>
            </w:r>
          </w:p>
        </w:tc>
        <w:tc>
          <w:tcPr>
            <w:tcW w:w="10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人数</w:t>
            </w:r>
          </w:p>
        </w:tc>
        <w:tc>
          <w:tcPr>
            <w:tcW w:w="219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jc w:val="center"/>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1</w:t>
            </w:r>
          </w:p>
        </w:tc>
        <w:tc>
          <w:tcPr>
            <w:tcW w:w="23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项目负责人</w:t>
            </w:r>
          </w:p>
        </w:tc>
        <w:tc>
          <w:tcPr>
            <w:tcW w:w="32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both"/>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牵头负责协作施工总体工作</w:t>
            </w:r>
          </w:p>
        </w:tc>
        <w:tc>
          <w:tcPr>
            <w:tcW w:w="10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1</w:t>
            </w:r>
          </w:p>
        </w:tc>
        <w:tc>
          <w:tcPr>
            <w:tcW w:w="219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ind w:firstLineChars="100"/>
              <w:jc w:val="center"/>
              <w:textAlignment w:val="center"/>
              <w:rPr>
                <w:rFonts w:hint="default" w:ascii="宋体" w:hAnsi="宋体" w:eastAsia="宋体" w:cs="宋体"/>
                <w:i w:val="0"/>
                <w:color w:val="FF0000"/>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具有满足附表2中对应标段一个及以上基本业绩的相关管理经验（提供：项目部证明、合同或中标通知书）</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jc w:val="center"/>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2</w:t>
            </w:r>
          </w:p>
        </w:tc>
        <w:tc>
          <w:tcPr>
            <w:tcW w:w="23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安全</w:t>
            </w:r>
            <w:r>
              <w:rPr>
                <w:rFonts w:hint="eastAsia" w:ascii="宋体" w:hAnsi="宋体" w:cs="宋体"/>
                <w:i w:val="0"/>
                <w:color w:val="auto"/>
                <w:kern w:val="0"/>
                <w:sz w:val="21"/>
                <w:szCs w:val="21"/>
                <w:highlight w:val="none"/>
                <w:u w:val="none"/>
                <w:lang w:val="en-US" w:eastAsia="zh-CN" w:bidi="ar"/>
              </w:rPr>
              <w:t>员</w:t>
            </w:r>
            <w:bookmarkStart w:id="0" w:name="_GoBack"/>
            <w:bookmarkEnd w:id="0"/>
          </w:p>
        </w:tc>
        <w:tc>
          <w:tcPr>
            <w:tcW w:w="32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协助</w:t>
            </w:r>
            <w:r>
              <w:rPr>
                <w:rFonts w:hint="eastAsia" w:ascii="宋体" w:hAnsi="宋体" w:eastAsia="宋体" w:cs="宋体"/>
                <w:i w:val="0"/>
                <w:color w:val="auto"/>
                <w:kern w:val="0"/>
                <w:sz w:val="21"/>
                <w:szCs w:val="21"/>
                <w:highlight w:val="none"/>
                <w:u w:val="none"/>
                <w:lang w:val="en-US" w:eastAsia="zh-CN" w:bidi="ar"/>
              </w:rPr>
              <w:t>项目负责人管理项目安全工作</w:t>
            </w:r>
          </w:p>
        </w:tc>
        <w:tc>
          <w:tcPr>
            <w:tcW w:w="10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1</w:t>
            </w:r>
          </w:p>
        </w:tc>
        <w:tc>
          <w:tcPr>
            <w:tcW w:w="219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ind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color w:val="auto"/>
                <w:sz w:val="22"/>
                <w:szCs w:val="22"/>
                <w:highlight w:val="none"/>
                <w:lang w:val="en-US" w:eastAsia="zh-CN"/>
              </w:rPr>
              <w:t>持</w:t>
            </w:r>
            <w:r>
              <w:rPr>
                <w:rFonts w:hint="eastAsia" w:ascii="宋体" w:hAnsi="宋体" w:cs="宋体"/>
                <w:color w:val="auto"/>
                <w:sz w:val="22"/>
                <w:szCs w:val="22"/>
                <w:highlight w:val="none"/>
                <w:lang w:val="en-US" w:eastAsia="zh-CN"/>
              </w:rPr>
              <w:t>安全员</w:t>
            </w:r>
            <w:r>
              <w:rPr>
                <w:rFonts w:hint="eastAsia" w:ascii="宋体" w:hAnsi="宋体" w:eastAsia="宋体" w:cs="宋体"/>
                <w:color w:val="auto"/>
                <w:sz w:val="22"/>
                <w:szCs w:val="22"/>
                <w:highlight w:val="none"/>
                <w:lang w:val="en-US" w:eastAsia="zh-CN"/>
              </w:rPr>
              <w:t>C证</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76" w:hRule="atLeast"/>
          <w:jc w:val="center"/>
        </w:trPr>
        <w:tc>
          <w:tcPr>
            <w:tcW w:w="9747" w:type="dxa"/>
            <w:gridSpan w:val="5"/>
            <w:tcBorders>
              <w:top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lang w:val="en-US" w:eastAsia="zh-CN"/>
              </w:rPr>
            </w:pPr>
          </w:p>
          <w:p>
            <w:pPr>
              <w:widowControl w:val="0"/>
              <w:spacing w:line="240" w:lineRule="auto"/>
              <w:ind w:firstLine="0" w:firstLineChars="0"/>
              <w:jc w:val="both"/>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 xml:space="preserve">注：1、本表为主要人员的最低要求，投标人应根据施工需要或招标人的要求增加相关专业技术人员。 </w:t>
            </w:r>
          </w:p>
          <w:p>
            <w:pPr>
              <w:widowControl w:val="0"/>
              <w:spacing w:line="240" w:lineRule="auto"/>
              <w:ind w:firstLine="0" w:firstLineChars="0"/>
              <w:jc w:val="both"/>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2、如因投标人的原因(除不可抗拒因素外)更换上述主要人员，须报请招标人批准，更换人员的资质不能低于招标文件要求，自行更换主要负责人的，对投标人按每人次扣以</w:t>
            </w:r>
            <w:r>
              <w:rPr>
                <w:rFonts w:hint="eastAsia" w:ascii="宋体" w:hAnsi="宋体" w:cs="宋体"/>
                <w:color w:val="auto"/>
                <w:kern w:val="0"/>
                <w:sz w:val="18"/>
                <w:szCs w:val="18"/>
                <w:highlight w:val="none"/>
                <w:lang w:val="en-US" w:eastAsia="zh-CN" w:bidi="ar-SA"/>
              </w:rPr>
              <w:t>5</w:t>
            </w:r>
            <w:r>
              <w:rPr>
                <w:rFonts w:hint="eastAsia" w:ascii="宋体" w:hAnsi="宋体" w:eastAsia="宋体" w:cs="宋体"/>
                <w:color w:val="auto"/>
                <w:kern w:val="0"/>
                <w:sz w:val="18"/>
                <w:szCs w:val="18"/>
                <w:highlight w:val="none"/>
                <w:lang w:val="en-US" w:eastAsia="zh-CN" w:bidi="ar-SA"/>
              </w:rPr>
              <w:t>0万元人民币违约金。</w:t>
            </w:r>
          </w:p>
          <w:p>
            <w:pPr>
              <w:widowControl w:val="0"/>
              <w:spacing w:line="240" w:lineRule="auto"/>
              <w:ind w:firstLine="0" w:firstLineChars="0"/>
              <w:jc w:val="both"/>
              <w:rPr>
                <w:rFonts w:hint="default" w:ascii="仿宋" w:hAnsi="仿宋" w:eastAsia="仿宋" w:cs="Times New Roman"/>
                <w:color w:val="auto"/>
                <w:kern w:val="0"/>
                <w:sz w:val="20"/>
                <w:szCs w:val="22"/>
                <w:highlight w:val="none"/>
                <w:lang w:val="en-US" w:eastAsia="zh-CN" w:bidi="ar-SA"/>
              </w:rPr>
            </w:pPr>
            <w:r>
              <w:rPr>
                <w:rFonts w:hint="eastAsia" w:ascii="宋体" w:hAnsi="宋体" w:eastAsia="宋体" w:cs="宋体"/>
                <w:color w:val="auto"/>
                <w:kern w:val="0"/>
                <w:sz w:val="18"/>
                <w:szCs w:val="18"/>
                <w:highlight w:val="none"/>
                <w:lang w:val="en-US" w:eastAsia="zh-CN" w:bidi="ar-SA"/>
              </w:rPr>
              <w:t>3、相关管理人员及技术人员必须在岗，有特殊情况离岗必须向项目部请假并得到批准。</w:t>
            </w:r>
          </w:p>
        </w:tc>
      </w:tr>
    </w:tbl>
    <w:p>
      <w:pPr>
        <w:rPr>
          <w:rFonts w:hint="eastAsia" w:ascii="宋体" w:hAnsi="宋体" w:eastAsia="宋体" w:cs="宋体"/>
          <w:b/>
          <w:color w:val="auto"/>
          <w:sz w:val="28"/>
          <w:szCs w:val="28"/>
          <w:highlight w:val="none"/>
          <w:lang w:val="en-US" w:eastAsia="zh-CN"/>
        </w:rPr>
      </w:pPr>
    </w:p>
    <w:p>
      <w:pPr>
        <w:widowControl w:val="0"/>
        <w:ind w:firstLine="570"/>
        <w:jc w:val="both"/>
        <w:rPr>
          <w:rFonts w:hint="eastAsia" w:ascii="宋体" w:hAnsi="宋体" w:eastAsia="宋体" w:cs="宋体"/>
          <w:b/>
          <w:color w:val="auto"/>
          <w:kern w:val="0"/>
          <w:sz w:val="28"/>
          <w:szCs w:val="28"/>
          <w:highlight w:val="none"/>
          <w:lang w:val="en-US" w:eastAsia="zh-CN" w:bidi="ar-SA"/>
        </w:rPr>
      </w:pPr>
    </w:p>
    <w:p>
      <w:pPr>
        <w:rPr>
          <w:rFonts w:hint="eastAsia" w:ascii="宋体" w:hAnsi="宋体" w:eastAsia="宋体" w:cs="宋体"/>
          <w:b/>
          <w:color w:val="auto"/>
          <w:sz w:val="28"/>
          <w:szCs w:val="28"/>
          <w:highlight w:val="none"/>
          <w:lang w:val="en-US" w:eastAsia="zh-CN"/>
        </w:rPr>
      </w:pPr>
    </w:p>
    <w:p>
      <w:pPr>
        <w:widowControl w:val="0"/>
        <w:ind w:firstLine="570"/>
        <w:jc w:val="both"/>
        <w:rPr>
          <w:rFonts w:hint="eastAsia" w:ascii="宋体" w:hAnsi="宋体" w:eastAsia="宋体" w:cs="宋体"/>
          <w:b/>
          <w:color w:val="auto"/>
          <w:kern w:val="0"/>
          <w:sz w:val="28"/>
          <w:szCs w:val="28"/>
          <w:highlight w:val="none"/>
          <w:lang w:val="en-US" w:eastAsia="zh-CN" w:bidi="ar-SA"/>
        </w:rPr>
      </w:pPr>
    </w:p>
    <w:p>
      <w:pPr>
        <w:rPr>
          <w:rFonts w:hint="eastAsia" w:ascii="宋体" w:hAnsi="宋体" w:eastAsia="宋体" w:cs="宋体"/>
          <w:b/>
          <w:color w:val="auto"/>
          <w:sz w:val="28"/>
          <w:szCs w:val="28"/>
          <w:highlight w:val="none"/>
          <w:lang w:val="en-US" w:eastAsia="zh-CN"/>
        </w:rPr>
      </w:pPr>
    </w:p>
    <w:p>
      <w:pPr>
        <w:widowControl w:val="0"/>
        <w:ind w:firstLine="570"/>
        <w:jc w:val="both"/>
        <w:rPr>
          <w:rFonts w:hint="eastAsia" w:ascii="宋体" w:hAnsi="宋体" w:eastAsia="宋体" w:cs="宋体"/>
          <w:b/>
          <w:color w:val="auto"/>
          <w:kern w:val="0"/>
          <w:sz w:val="28"/>
          <w:szCs w:val="28"/>
          <w:highlight w:val="none"/>
          <w:lang w:val="en-US" w:eastAsia="zh-CN" w:bidi="ar-SA"/>
        </w:rPr>
      </w:pPr>
    </w:p>
    <w:p>
      <w:pPr>
        <w:rPr>
          <w:rFonts w:hint="eastAsia" w:ascii="宋体" w:hAnsi="宋体" w:eastAsia="宋体" w:cs="宋体"/>
          <w:b/>
          <w:color w:val="auto"/>
          <w:sz w:val="28"/>
          <w:szCs w:val="28"/>
          <w:highlight w:val="none"/>
          <w:lang w:val="en-US" w:eastAsia="zh-CN"/>
        </w:rPr>
      </w:pPr>
    </w:p>
    <w:p>
      <w:pPr>
        <w:widowControl w:val="0"/>
        <w:ind w:firstLine="570"/>
        <w:jc w:val="both"/>
        <w:rPr>
          <w:rFonts w:hint="eastAsia" w:ascii="宋体" w:hAnsi="宋体" w:eastAsia="宋体" w:cs="宋体"/>
          <w:b/>
          <w:color w:val="auto"/>
          <w:kern w:val="0"/>
          <w:sz w:val="28"/>
          <w:szCs w:val="28"/>
          <w:highlight w:val="none"/>
          <w:lang w:val="en-US" w:eastAsia="zh-CN" w:bidi="ar-SA"/>
        </w:rPr>
      </w:pPr>
    </w:p>
    <w:p>
      <w:pPr>
        <w:rPr>
          <w:rFonts w:hint="eastAsia" w:ascii="宋体" w:hAnsi="宋体" w:eastAsia="宋体" w:cs="宋体"/>
          <w:b/>
          <w:color w:val="auto"/>
          <w:sz w:val="28"/>
          <w:szCs w:val="28"/>
          <w:highlight w:val="none"/>
          <w:lang w:val="en-US" w:eastAsia="zh-CN"/>
        </w:rPr>
      </w:pPr>
    </w:p>
    <w:p>
      <w:pPr>
        <w:widowControl w:val="0"/>
        <w:ind w:firstLine="570"/>
        <w:jc w:val="both"/>
        <w:rPr>
          <w:rFonts w:hint="eastAsia" w:ascii="宋体" w:hAnsi="宋体" w:eastAsia="宋体" w:cs="宋体"/>
          <w:b/>
          <w:color w:val="auto"/>
          <w:kern w:val="0"/>
          <w:sz w:val="28"/>
          <w:szCs w:val="28"/>
          <w:highlight w:val="none"/>
          <w:lang w:val="en-US" w:eastAsia="zh-CN" w:bidi="ar-SA"/>
        </w:rPr>
      </w:pPr>
    </w:p>
    <w:p>
      <w:pPr>
        <w:rPr>
          <w:rFonts w:hint="eastAsia" w:ascii="宋体" w:hAnsi="宋体" w:eastAsia="宋体" w:cs="宋体"/>
          <w:b/>
          <w:color w:val="auto"/>
          <w:sz w:val="28"/>
          <w:szCs w:val="28"/>
          <w:highlight w:val="none"/>
          <w:lang w:val="en-US" w:eastAsia="zh-CN"/>
        </w:rPr>
      </w:pPr>
    </w:p>
    <w:p>
      <w:pPr>
        <w:rPr>
          <w:rFonts w:hint="eastAsia" w:ascii="宋体" w:hAnsi="宋体" w:eastAsia="宋体" w:cs="宋体"/>
          <w:b/>
          <w:sz w:val="28"/>
          <w:szCs w:val="28"/>
        </w:rPr>
      </w:pPr>
      <w:r>
        <w:rPr>
          <w:rFonts w:hint="eastAsia" w:ascii="宋体" w:hAnsi="宋体" w:eastAsia="宋体" w:cs="宋体"/>
          <w:b/>
          <w:sz w:val="28"/>
          <w:szCs w:val="28"/>
        </w:rPr>
        <w:t>附表四</w:t>
      </w:r>
    </w:p>
    <w:p>
      <w:pPr>
        <w:widowControl w:val="0"/>
        <w:spacing w:after="120"/>
        <w:jc w:val="both"/>
        <w:rPr>
          <w:rFonts w:hint="eastAsia" w:ascii="Times New Roman" w:hAnsi="Times New Roman" w:eastAsia="宋体" w:cs="Times New Roman"/>
          <w:kern w:val="2"/>
          <w:sz w:val="21"/>
          <w:szCs w:val="24"/>
          <w:lang w:val="en-US" w:eastAsia="zh-CN" w:bidi="ar-SA"/>
        </w:rPr>
      </w:pPr>
    </w:p>
    <w:tbl>
      <w:tblPr>
        <w:tblStyle w:val="3"/>
        <w:tblW w:w="9638" w:type="dxa"/>
        <w:jc w:val="center"/>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638"/>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PrEx>
        <w:trPr>
          <w:trHeight w:val="1133" w:hRule="atLeast"/>
          <w:jc w:val="center"/>
        </w:trPr>
        <w:tc>
          <w:tcPr>
            <w:tcW w:w="9638" w:type="dxa"/>
            <w:tcBorders>
              <w:tl2br w:val="nil"/>
              <w:tr2bl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四川巴中至南部高速公路2022年土路肩硬化工程</w:t>
            </w:r>
            <w:r>
              <w:rPr>
                <w:rFonts w:hint="eastAsia" w:ascii="宋体" w:hAnsi="宋体" w:eastAsia="宋体" w:cs="宋体"/>
                <w:b/>
                <w:bCs/>
                <w:color w:val="auto"/>
                <w:sz w:val="28"/>
                <w:szCs w:val="28"/>
                <w:highlight w:val="none"/>
                <w:lang w:val="en-US" w:eastAsia="zh-CN"/>
              </w:rPr>
              <w:t>劳务</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val="0"/>
                <w:color w:val="auto"/>
                <w:kern w:val="0"/>
                <w:sz w:val="28"/>
                <w:szCs w:val="28"/>
                <w:highlight w:val="none"/>
                <w:u w:val="none"/>
                <w:lang w:val="en-US" w:eastAsia="zh-CN" w:bidi="ar"/>
              </w:rPr>
            </w:pPr>
            <w:r>
              <w:rPr>
                <w:rFonts w:hint="eastAsia" w:ascii="宋体" w:hAnsi="宋体" w:eastAsia="宋体" w:cs="宋体"/>
                <w:b/>
                <w:bCs/>
                <w:color w:val="auto"/>
                <w:sz w:val="28"/>
                <w:szCs w:val="28"/>
                <w:highlight w:val="none"/>
                <w:lang w:val="en-US" w:eastAsia="zh-CN"/>
              </w:rPr>
              <w:t>合作项目</w:t>
            </w:r>
            <w:r>
              <w:rPr>
                <w:rFonts w:hint="eastAsia" w:ascii="宋体" w:hAnsi="宋体" w:eastAsia="宋体" w:cs="宋体"/>
                <w:b/>
                <w:bCs/>
                <w:color w:val="auto"/>
                <w:sz w:val="28"/>
                <w:szCs w:val="28"/>
                <w:highlight w:val="none"/>
                <w:lang w:eastAsia="zh-CN"/>
              </w:rPr>
              <w:t>拟</w:t>
            </w:r>
            <w:r>
              <w:rPr>
                <w:rFonts w:hint="eastAsia" w:ascii="宋体" w:hAnsi="宋体" w:eastAsia="宋体" w:cs="宋体"/>
                <w:b/>
                <w:i w:val="0"/>
                <w:color w:val="auto"/>
                <w:kern w:val="0"/>
                <w:sz w:val="28"/>
                <w:szCs w:val="28"/>
                <w:highlight w:val="none"/>
                <w:u w:val="none"/>
                <w:lang w:val="en-US" w:eastAsia="zh-CN" w:bidi="ar"/>
              </w:rPr>
              <w:t>投入设备配置表(最低要求）</w:t>
            </w:r>
          </w:p>
          <w:tbl>
            <w:tblPr>
              <w:tblStyle w:val="3"/>
              <w:tblW w:w="91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4"/>
              <w:gridCol w:w="1575"/>
              <w:gridCol w:w="969"/>
              <w:gridCol w:w="798"/>
              <w:gridCol w:w="898"/>
              <w:gridCol w:w="814"/>
              <w:gridCol w:w="1064"/>
              <w:gridCol w:w="765"/>
              <w:gridCol w:w="765"/>
              <w:gridCol w:w="8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674" w:type="dxa"/>
                  <w:vMerge w:val="restart"/>
                  <w:tcBorders>
                    <w:tl2br w:val="nil"/>
                    <w:tr2bl w:val="nil"/>
                  </w:tcBorders>
                  <w:vAlign w:val="center"/>
                </w:tcPr>
                <w:p>
                  <w:pPr>
                    <w:widowControl w:val="0"/>
                    <w:kinsoku w:val="0"/>
                    <w:overflowPunct w:val="0"/>
                    <w:spacing w:beforeLines="0" w:afterLines="0" w:line="260" w:lineRule="exact"/>
                    <w:ind w:left="0" w:righ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序号</w:t>
                  </w:r>
                </w:p>
              </w:tc>
              <w:tc>
                <w:tcPr>
                  <w:tcW w:w="1575" w:type="dxa"/>
                  <w:vMerge w:val="restart"/>
                  <w:tcBorders>
                    <w:tl2br w:val="nil"/>
                    <w:tr2bl w:val="nil"/>
                  </w:tcBorders>
                  <w:vAlign w:val="center"/>
                </w:tcPr>
                <w:p>
                  <w:pPr>
                    <w:widowControl w:val="0"/>
                    <w:kinsoku w:val="0"/>
                    <w:overflowPunct w:val="0"/>
                    <w:spacing w:beforeLines="0" w:afterLines="0" w:line="260" w:lineRule="exact"/>
                    <w:ind w:lef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机械设备名称</w:t>
                  </w:r>
                </w:p>
              </w:tc>
              <w:tc>
                <w:tcPr>
                  <w:tcW w:w="969" w:type="dxa"/>
                  <w:vMerge w:val="restart"/>
                  <w:tcBorders>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规格</w:t>
                  </w:r>
                </w:p>
                <w:p>
                  <w:pPr>
                    <w:spacing w:line="440" w:lineRule="exact"/>
                    <w:jc w:val="center"/>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型号</w:t>
                  </w:r>
                </w:p>
              </w:tc>
              <w:tc>
                <w:tcPr>
                  <w:tcW w:w="798" w:type="dxa"/>
                  <w:vMerge w:val="restart"/>
                  <w:tcBorders>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bidi="ar-SA"/>
                    </w:rPr>
                  </w:pPr>
                  <w:r>
                    <w:rPr>
                      <w:rFonts w:hint="eastAsia" w:ascii="宋体" w:hAnsi="宋体" w:eastAsia="宋体" w:cs="宋体"/>
                      <w:bCs/>
                      <w:color w:val="auto"/>
                      <w:sz w:val="21"/>
                      <w:szCs w:val="21"/>
                      <w:highlight w:val="none"/>
                      <w:lang w:val="en-US" w:bidi="ar-SA"/>
                    </w:rPr>
                    <w:t>单位</w:t>
                  </w:r>
                </w:p>
              </w:tc>
              <w:tc>
                <w:tcPr>
                  <w:tcW w:w="1712" w:type="dxa"/>
                  <w:gridSpan w:val="2"/>
                  <w:tcBorders>
                    <w:tl2br w:val="nil"/>
                    <w:tr2bl w:val="nil"/>
                  </w:tcBorders>
                  <w:vAlign w:val="center"/>
                </w:tcPr>
                <w:p>
                  <w:pPr>
                    <w:widowControl w:val="0"/>
                    <w:spacing w:beforeLines="0" w:afterLines="0" w:line="260" w:lineRule="exact"/>
                    <w:ind w:firstLine="210" w:firstLineChars="10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基本要求</w:t>
                  </w:r>
                </w:p>
              </w:tc>
              <w:tc>
                <w:tcPr>
                  <w:tcW w:w="1064" w:type="dxa"/>
                  <w:vMerge w:val="restart"/>
                  <w:tcBorders>
                    <w:tl2br w:val="nil"/>
                    <w:tr2bl w:val="nil"/>
                  </w:tcBorders>
                  <w:vAlign w:val="center"/>
                </w:tcPr>
                <w:p>
                  <w:pPr>
                    <w:kinsoku w:val="0"/>
                    <w:overflowPunct w:val="0"/>
                    <w:spacing w:beforeLines="0" w:afterLines="0" w:line="260" w:lineRule="exact"/>
                    <w:ind w:right="0"/>
                    <w:jc w:val="center"/>
                    <w:rPr>
                      <w:rFonts w:hint="eastAsia" w:ascii="Times New Roman" w:hAnsi="Times New Roman" w:eastAsia="宋体" w:cs="宋体"/>
                      <w:bCs w:val="0"/>
                      <w:color w:val="auto"/>
                      <w:sz w:val="21"/>
                      <w:szCs w:val="21"/>
                      <w:highlight w:val="none"/>
                      <w:lang w:val="en-US" w:eastAsia="zh-CN" w:bidi="ar-SA"/>
                    </w:rPr>
                  </w:pPr>
                  <w:r>
                    <w:rPr>
                      <w:rFonts w:hint="eastAsia" w:ascii="宋体" w:hAnsi="宋体" w:eastAsia="宋体" w:cs="宋体"/>
                      <w:color w:val="auto"/>
                      <w:szCs w:val="22"/>
                      <w:highlight w:val="none"/>
                      <w:lang w:val="en-US" w:eastAsia="zh-CN"/>
                    </w:rPr>
                    <w:t>每增加一台自有设备加分值</w:t>
                  </w:r>
                </w:p>
              </w:tc>
              <w:tc>
                <w:tcPr>
                  <w:tcW w:w="765" w:type="dxa"/>
                  <w:vMerge w:val="restart"/>
                  <w:tcBorders>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加分上限</w:t>
                  </w:r>
                </w:p>
              </w:tc>
              <w:tc>
                <w:tcPr>
                  <w:tcW w:w="765" w:type="dxa"/>
                  <w:vMerge w:val="restart"/>
                  <w:tcBorders>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出厂日期</w:t>
                  </w:r>
                </w:p>
              </w:tc>
              <w:tc>
                <w:tcPr>
                  <w:tcW w:w="853" w:type="dxa"/>
                  <w:vMerge w:val="restart"/>
                  <w:tcBorders>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674" w:type="dxa"/>
                  <w:vMerge w:val="continue"/>
                  <w:tcBorders>
                    <w:tl2br w:val="nil"/>
                    <w:tr2bl w:val="nil"/>
                  </w:tcBorders>
                  <w:vAlign w:val="center"/>
                </w:tcPr>
                <w:p>
                  <w:pPr>
                    <w:spacing w:line="440" w:lineRule="exact"/>
                    <w:jc w:val="center"/>
                    <w:rPr>
                      <w:rFonts w:ascii="Times New Roman" w:hAnsi="Times New Roman" w:eastAsia="宋体" w:cs="Times New Roman"/>
                      <w:color w:val="auto"/>
                      <w:sz w:val="21"/>
                      <w:szCs w:val="21"/>
                      <w:highlight w:val="none"/>
                    </w:rPr>
                  </w:pPr>
                </w:p>
              </w:tc>
              <w:tc>
                <w:tcPr>
                  <w:tcW w:w="1575" w:type="dxa"/>
                  <w:vMerge w:val="continue"/>
                  <w:tcBorders>
                    <w:tl2br w:val="nil"/>
                    <w:tr2bl w:val="nil"/>
                  </w:tcBorders>
                  <w:vAlign w:val="center"/>
                </w:tcPr>
                <w:p>
                  <w:pPr>
                    <w:spacing w:line="440" w:lineRule="exact"/>
                    <w:jc w:val="center"/>
                    <w:rPr>
                      <w:rFonts w:ascii="Times New Roman" w:hAnsi="Times New Roman" w:eastAsia="宋体" w:cs="Times New Roman"/>
                      <w:color w:val="auto"/>
                      <w:sz w:val="21"/>
                      <w:szCs w:val="21"/>
                      <w:highlight w:val="none"/>
                    </w:rPr>
                  </w:pPr>
                </w:p>
              </w:tc>
              <w:tc>
                <w:tcPr>
                  <w:tcW w:w="969" w:type="dxa"/>
                  <w:vMerge w:val="continue"/>
                  <w:tcBorders>
                    <w:tl2br w:val="nil"/>
                    <w:tr2bl w:val="nil"/>
                  </w:tcBorders>
                  <w:vAlign w:val="center"/>
                </w:tcPr>
                <w:p>
                  <w:pPr>
                    <w:spacing w:line="440" w:lineRule="exact"/>
                    <w:jc w:val="center"/>
                    <w:rPr>
                      <w:rFonts w:ascii="Times New Roman" w:hAnsi="Times New Roman" w:eastAsia="宋体" w:cs="Times New Roman"/>
                      <w:color w:val="auto"/>
                      <w:sz w:val="21"/>
                      <w:szCs w:val="21"/>
                      <w:highlight w:val="none"/>
                    </w:rPr>
                  </w:pPr>
                </w:p>
              </w:tc>
              <w:tc>
                <w:tcPr>
                  <w:tcW w:w="798" w:type="dxa"/>
                  <w:vMerge w:val="continue"/>
                  <w:tcBorders>
                    <w:tl2br w:val="nil"/>
                    <w:tr2bl w:val="nil"/>
                  </w:tcBorders>
                  <w:vAlign w:val="center"/>
                </w:tcPr>
                <w:p>
                  <w:pPr>
                    <w:spacing w:line="440" w:lineRule="exact"/>
                    <w:jc w:val="center"/>
                    <w:rPr>
                      <w:rFonts w:ascii="Times New Roman" w:hAnsi="Times New Roman" w:eastAsia="宋体" w:cs="Times New Roman"/>
                      <w:color w:val="auto"/>
                      <w:sz w:val="21"/>
                      <w:szCs w:val="21"/>
                      <w:highlight w:val="none"/>
                    </w:rPr>
                  </w:pPr>
                </w:p>
              </w:tc>
              <w:tc>
                <w:tcPr>
                  <w:tcW w:w="898" w:type="dxa"/>
                  <w:tcBorders>
                    <w:tl2br w:val="nil"/>
                    <w:tr2bl w:val="nil"/>
                  </w:tcBorders>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总数量</w:t>
                  </w:r>
                </w:p>
              </w:tc>
              <w:tc>
                <w:tcPr>
                  <w:tcW w:w="814" w:type="dxa"/>
                  <w:tcBorders>
                    <w:tl2br w:val="nil"/>
                    <w:tr2bl w:val="nil"/>
                  </w:tcBorders>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自有设备</w:t>
                  </w:r>
                </w:p>
              </w:tc>
              <w:tc>
                <w:tcPr>
                  <w:tcW w:w="1064" w:type="dxa"/>
                  <w:vMerge w:val="continue"/>
                  <w:tcBorders>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765" w:type="dxa"/>
                  <w:vMerge w:val="continue"/>
                  <w:tcBorders>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765" w:type="dxa"/>
                  <w:vMerge w:val="continue"/>
                  <w:tcBorders>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853" w:type="dxa"/>
                  <w:vMerge w:val="continue"/>
                  <w:tcBorders>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674"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1</w:t>
                  </w:r>
                </w:p>
              </w:tc>
              <w:tc>
                <w:tcPr>
                  <w:tcW w:w="1575"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color w:val="auto"/>
                      <w:kern w:val="2"/>
                      <w:sz w:val="21"/>
                      <w:szCs w:val="21"/>
                      <w:highlight w:val="none"/>
                      <w:lang w:val="en-US" w:eastAsia="zh-CN" w:bidi="ar-SA"/>
                    </w:rPr>
                    <w:t>发电机</w:t>
                  </w:r>
                </w:p>
              </w:tc>
              <w:tc>
                <w:tcPr>
                  <w:tcW w:w="969"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p>
              </w:tc>
              <w:tc>
                <w:tcPr>
                  <w:tcW w:w="798"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cs="宋体"/>
                      <w:i w:val="0"/>
                      <w:color w:val="auto"/>
                      <w:kern w:val="0"/>
                      <w:sz w:val="21"/>
                      <w:szCs w:val="21"/>
                      <w:highlight w:val="none"/>
                      <w:u w:val="none"/>
                      <w:lang w:val="en-US" w:eastAsia="zh-CN" w:bidi="ar"/>
                    </w:rPr>
                    <w:t>台</w:t>
                  </w:r>
                </w:p>
              </w:tc>
              <w:tc>
                <w:tcPr>
                  <w:tcW w:w="898"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cs="宋体"/>
                      <w:i w:val="0"/>
                      <w:color w:val="auto"/>
                      <w:kern w:val="0"/>
                      <w:sz w:val="21"/>
                      <w:szCs w:val="21"/>
                      <w:highlight w:val="none"/>
                      <w:u w:val="none"/>
                      <w:lang w:val="en-US" w:eastAsia="zh-CN" w:bidi="ar"/>
                    </w:rPr>
                    <w:t>1</w:t>
                  </w:r>
                </w:p>
              </w:tc>
              <w:tc>
                <w:tcPr>
                  <w:tcW w:w="814" w:type="dxa"/>
                  <w:tcBorders>
                    <w:tl2br w:val="nil"/>
                    <w:tr2bl w:val="nil"/>
                  </w:tcBorders>
                  <w:vAlign w:val="center"/>
                </w:tcPr>
                <w:p>
                  <w:pPr>
                    <w:jc w:val="center"/>
                    <w:rPr>
                      <w:rFonts w:hint="default" w:ascii="宋体" w:hAnsi="宋体" w:eastAsia="宋体" w:cs="宋体"/>
                      <w:color w:val="auto"/>
                      <w:kern w:val="2"/>
                      <w:sz w:val="21"/>
                      <w:szCs w:val="21"/>
                      <w:highlight w:val="yellow"/>
                      <w:lang w:val="en-US" w:eastAsia="zh-CN" w:bidi="ar-SA"/>
                    </w:rPr>
                  </w:pPr>
                </w:p>
              </w:tc>
              <w:tc>
                <w:tcPr>
                  <w:tcW w:w="1064"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cs="宋体"/>
                      <w:color w:val="auto"/>
                      <w:kern w:val="2"/>
                      <w:sz w:val="21"/>
                      <w:szCs w:val="21"/>
                      <w:highlight w:val="none"/>
                      <w:lang w:val="en-US" w:eastAsia="zh-CN" w:bidi="ar-SA"/>
                    </w:rPr>
                    <w:t>1</w:t>
                  </w:r>
                </w:p>
              </w:tc>
              <w:tc>
                <w:tcPr>
                  <w:tcW w:w="765"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cs="宋体"/>
                      <w:color w:val="auto"/>
                      <w:kern w:val="2"/>
                      <w:sz w:val="21"/>
                      <w:szCs w:val="21"/>
                      <w:highlight w:val="none"/>
                      <w:lang w:val="en-US" w:eastAsia="zh-CN" w:bidi="ar-SA"/>
                    </w:rPr>
                    <w:t>1</w:t>
                  </w:r>
                </w:p>
              </w:tc>
              <w:tc>
                <w:tcPr>
                  <w:tcW w:w="765" w:type="dxa"/>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201</w:t>
                  </w:r>
                  <w:r>
                    <w:rPr>
                      <w:rFonts w:hint="eastAsia" w:ascii="宋体" w:hAnsi="宋体" w:cs="宋体"/>
                      <w:color w:val="auto"/>
                      <w:szCs w:val="22"/>
                      <w:highlight w:val="none"/>
                      <w:lang w:val="en-US" w:eastAsia="zh-CN"/>
                    </w:rPr>
                    <w:t>7</w:t>
                  </w:r>
                  <w:r>
                    <w:rPr>
                      <w:rFonts w:hint="eastAsia" w:ascii="宋体" w:hAnsi="宋体" w:eastAsia="宋体" w:cs="宋体"/>
                      <w:color w:val="auto"/>
                      <w:szCs w:val="22"/>
                      <w:highlight w:val="none"/>
                      <w:lang w:val="en-US" w:eastAsia="zh-CN"/>
                    </w:rPr>
                    <w:t>年</w:t>
                  </w:r>
                  <w:r>
                    <w:rPr>
                      <w:rFonts w:hint="eastAsia" w:ascii="宋体" w:hAnsi="宋体" w:cs="宋体"/>
                      <w:color w:val="auto"/>
                      <w:szCs w:val="22"/>
                      <w:highlight w:val="none"/>
                      <w:lang w:val="en-US" w:eastAsia="zh-CN"/>
                    </w:rPr>
                    <w:t>10</w:t>
                  </w:r>
                  <w:r>
                    <w:rPr>
                      <w:rFonts w:hint="eastAsia" w:ascii="宋体" w:hAnsi="宋体" w:eastAsia="宋体" w:cs="宋体"/>
                      <w:color w:val="auto"/>
                      <w:szCs w:val="22"/>
                      <w:highlight w:val="none"/>
                      <w:lang w:val="en-US" w:eastAsia="zh-CN"/>
                    </w:rPr>
                    <w:t>月后</w:t>
                  </w:r>
                </w:p>
              </w:tc>
              <w:tc>
                <w:tcPr>
                  <w:tcW w:w="853" w:type="dxa"/>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自有设备需提供购买发票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674"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p>
              </w:tc>
              <w:tc>
                <w:tcPr>
                  <w:tcW w:w="1575" w:type="dxa"/>
                  <w:tcBorders>
                    <w:tl2br w:val="nil"/>
                    <w:tr2bl w:val="nil"/>
                  </w:tcBorders>
                  <w:vAlign w:val="center"/>
                </w:tcPr>
                <w:p>
                  <w:pPr>
                    <w:keepNext w:val="0"/>
                    <w:keepLines w:val="0"/>
                    <w:widowControl/>
                    <w:suppressLineNumbers w:val="0"/>
                    <w:jc w:val="center"/>
                    <w:textAlignment w:val="center"/>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混凝土振捣</w:t>
                  </w:r>
                </w:p>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设备</w:t>
                  </w:r>
                </w:p>
              </w:tc>
              <w:tc>
                <w:tcPr>
                  <w:tcW w:w="969"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p>
              </w:tc>
              <w:tc>
                <w:tcPr>
                  <w:tcW w:w="798"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cs="宋体"/>
                      <w:i w:val="0"/>
                      <w:color w:val="auto"/>
                      <w:kern w:val="0"/>
                      <w:sz w:val="21"/>
                      <w:szCs w:val="21"/>
                      <w:highlight w:val="none"/>
                      <w:u w:val="none"/>
                      <w:lang w:val="en-US" w:eastAsia="zh-CN" w:bidi="ar"/>
                    </w:rPr>
                    <w:t>台</w:t>
                  </w:r>
                </w:p>
              </w:tc>
              <w:tc>
                <w:tcPr>
                  <w:tcW w:w="898"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814" w:type="dxa"/>
                  <w:tcBorders>
                    <w:tl2br w:val="nil"/>
                    <w:tr2bl w:val="nil"/>
                  </w:tcBorders>
                  <w:vAlign w:val="center"/>
                </w:tcPr>
                <w:p>
                  <w:pPr>
                    <w:jc w:val="center"/>
                    <w:rPr>
                      <w:rFonts w:hint="default" w:ascii="宋体" w:hAnsi="宋体" w:eastAsia="宋体" w:cs="宋体"/>
                      <w:color w:val="auto"/>
                      <w:kern w:val="2"/>
                      <w:sz w:val="21"/>
                      <w:szCs w:val="21"/>
                      <w:highlight w:val="yellow"/>
                      <w:lang w:val="en-US" w:eastAsia="zh-CN" w:bidi="ar-SA"/>
                    </w:rPr>
                  </w:pPr>
                </w:p>
              </w:tc>
              <w:tc>
                <w:tcPr>
                  <w:tcW w:w="1064"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w:t>
                  </w:r>
                </w:p>
              </w:tc>
              <w:tc>
                <w:tcPr>
                  <w:tcW w:w="765"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w:t>
                  </w:r>
                </w:p>
              </w:tc>
              <w:tc>
                <w:tcPr>
                  <w:tcW w:w="765"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3"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74"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w:t>
                  </w:r>
                </w:p>
              </w:tc>
              <w:tc>
                <w:tcPr>
                  <w:tcW w:w="1575"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i w:val="0"/>
                      <w:color w:val="auto"/>
                      <w:kern w:val="0"/>
                      <w:sz w:val="21"/>
                      <w:szCs w:val="21"/>
                      <w:highlight w:val="none"/>
                      <w:u w:val="none"/>
                      <w:lang w:val="en-US" w:eastAsia="zh-CN" w:bidi="ar"/>
                    </w:rPr>
                    <w:t>小型挖掘机</w:t>
                  </w:r>
                </w:p>
              </w:tc>
              <w:tc>
                <w:tcPr>
                  <w:tcW w:w="969"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p>
              </w:tc>
              <w:tc>
                <w:tcPr>
                  <w:tcW w:w="798"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cs="宋体"/>
                      <w:i w:val="0"/>
                      <w:color w:val="auto"/>
                      <w:kern w:val="0"/>
                      <w:sz w:val="21"/>
                      <w:szCs w:val="21"/>
                      <w:highlight w:val="none"/>
                      <w:u w:val="none"/>
                      <w:lang w:val="en-US" w:eastAsia="zh-CN" w:bidi="ar"/>
                    </w:rPr>
                    <w:t>台</w:t>
                  </w:r>
                </w:p>
              </w:tc>
              <w:tc>
                <w:tcPr>
                  <w:tcW w:w="898"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814" w:type="dxa"/>
                  <w:tcBorders>
                    <w:tl2br w:val="nil"/>
                    <w:tr2bl w:val="nil"/>
                  </w:tcBorders>
                  <w:vAlign w:val="center"/>
                </w:tcPr>
                <w:p>
                  <w:pPr>
                    <w:jc w:val="center"/>
                    <w:rPr>
                      <w:rFonts w:hint="default" w:ascii="宋体" w:hAnsi="宋体" w:eastAsia="宋体" w:cs="宋体"/>
                      <w:color w:val="auto"/>
                      <w:kern w:val="2"/>
                      <w:sz w:val="21"/>
                      <w:szCs w:val="21"/>
                      <w:highlight w:val="yellow"/>
                      <w:lang w:val="en-US" w:eastAsia="zh-CN" w:bidi="ar-SA"/>
                    </w:rPr>
                  </w:pPr>
                </w:p>
              </w:tc>
              <w:tc>
                <w:tcPr>
                  <w:tcW w:w="1064"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2</w:t>
                  </w:r>
                </w:p>
              </w:tc>
              <w:tc>
                <w:tcPr>
                  <w:tcW w:w="765"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2</w:t>
                  </w:r>
                </w:p>
              </w:tc>
              <w:tc>
                <w:tcPr>
                  <w:tcW w:w="765"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3"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bl>
          <w:p>
            <w:pPr>
              <w:keepNext w:val="0"/>
              <w:keepLines w:val="0"/>
              <w:widowControl/>
              <w:suppressLineNumbers w:val="0"/>
              <w:ind w:firstLine="0" w:firstLineChars="0"/>
              <w:jc w:val="center"/>
              <w:textAlignment w:val="auto"/>
              <w:rPr>
                <w:rFonts w:hint="eastAsia" w:ascii="宋体" w:hAnsi="宋体" w:eastAsia="宋体" w:cs="宋体"/>
                <w:b/>
                <w:sz w:val="28"/>
                <w:szCs w:val="28"/>
              </w:rPr>
            </w:pPr>
          </w:p>
        </w:tc>
      </w:tr>
    </w:tbl>
    <w:p>
      <w:pPr>
        <w:widowControl/>
        <w:jc w:val="left"/>
        <w:textAlignment w:val="center"/>
        <w:rPr>
          <w:rFonts w:hint="eastAsia" w:ascii="宋体" w:hAnsi="宋体" w:eastAsia="宋体" w:cs="宋体"/>
          <w:sz w:val="18"/>
          <w:szCs w:val="18"/>
        </w:rPr>
      </w:pPr>
    </w:p>
    <w:p>
      <w:pPr>
        <w:widowControl/>
        <w:jc w:val="left"/>
        <w:textAlignment w:val="center"/>
        <w:rPr>
          <w:rFonts w:hint="eastAsia" w:ascii="宋体" w:hAnsi="宋体" w:eastAsia="宋体" w:cs="宋体"/>
          <w:sz w:val="18"/>
          <w:szCs w:val="18"/>
        </w:rPr>
      </w:pPr>
      <w:r>
        <w:rPr>
          <w:rFonts w:hint="eastAsia" w:ascii="宋体" w:hAnsi="宋体" w:eastAsia="宋体" w:cs="宋体"/>
          <w:sz w:val="18"/>
          <w:szCs w:val="18"/>
        </w:rPr>
        <w:t>注：1、若监理工程师或招标人认为投标人配备的机械设备不能满足现场施工的需要，或不能保证工程质量和进度时，招标人有权要求投标人增加。</w:t>
      </w:r>
    </w:p>
    <w:p>
      <w:pPr>
        <w:widowControl/>
        <w:ind w:firstLine="360" w:firstLineChars="200"/>
        <w:jc w:val="left"/>
        <w:textAlignment w:val="center"/>
        <w:rPr>
          <w:rFonts w:hint="eastAsia" w:ascii="宋体" w:hAnsi="宋体" w:eastAsia="宋体" w:cs="宋体"/>
          <w:sz w:val="18"/>
          <w:szCs w:val="18"/>
        </w:rPr>
      </w:pPr>
      <w:r>
        <w:rPr>
          <w:rFonts w:hint="eastAsia" w:ascii="宋体" w:hAnsi="宋体" w:eastAsia="宋体" w:cs="宋体"/>
          <w:sz w:val="18"/>
          <w:szCs w:val="18"/>
          <w:lang w:val="en-US" w:eastAsia="zh-CN"/>
        </w:rPr>
        <w:t>2、</w:t>
      </w:r>
      <w:r>
        <w:rPr>
          <w:rFonts w:hint="eastAsia" w:ascii="宋体" w:hAnsi="宋体" w:eastAsia="宋体" w:cs="宋体"/>
          <w:sz w:val="18"/>
          <w:szCs w:val="18"/>
        </w:rPr>
        <w:t>本表中的总数量为承包人中标后向发包人承诺的投入最低设备要求，并以书面形式纳入合同附件。</w:t>
      </w:r>
    </w:p>
    <w:p>
      <w:pPr>
        <w:widowControl/>
        <w:ind w:firstLine="360" w:firstLineChars="200"/>
        <w:jc w:val="left"/>
        <w:textAlignment w:val="center"/>
      </w:pPr>
      <w:r>
        <w:rPr>
          <w:rFonts w:hint="eastAsia" w:ascii="宋体" w:hAnsi="宋体" w:eastAsia="宋体" w:cs="宋体"/>
          <w:b w:val="0"/>
          <w:bCs w:val="0"/>
          <w:sz w:val="18"/>
          <w:szCs w:val="18"/>
          <w:lang w:val="en-US" w:eastAsia="zh-CN"/>
        </w:rPr>
        <w:t>3、设备需具备施工能力满足实际施工需要，自有设备需提供购买发票,投标人需保证发票真实有效，并在投标文件中提供的发票网上查验结果截图（国家税务总局全国增值税发票查验平台 https://inv-veri.chinatax.gov.cn）。若为虚假发票，作废标处理</w:t>
      </w:r>
      <w:r>
        <w:rPr>
          <w:rFonts w:hint="eastAsia" w:ascii="宋体" w:hAnsi="宋体" w:cs="宋体"/>
          <w:b w:val="0"/>
          <w:bCs w:val="0"/>
          <w:sz w:val="18"/>
          <w:szCs w:val="18"/>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after="120" w:line="14" w:lineRule="auto"/>
      <w:jc w:val="both"/>
      <w:rPr>
        <w:rFonts w:ascii="Times New Roman" w:hAnsi="Times New Roman" w:eastAsia="宋体" w:cs="Times New Roman"/>
        <w:kern w:val="2"/>
        <w:sz w:val="12"/>
        <w:szCs w:val="24"/>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after="120" w:line="14" w:lineRule="auto"/>
      <w:jc w:val="both"/>
      <w:rPr>
        <w:rFonts w:ascii="Times New Roman" w:hAnsi="Times New Roman" w:eastAsia="宋体" w:cs="Times New Roman"/>
        <w:kern w:val="2"/>
        <w:sz w:val="20"/>
        <w:szCs w:val="24"/>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zZmE5MDJlY2MxN2ZmZDU3YTk0NzZkYzRlYjFhZmEifQ=="/>
  </w:docVars>
  <w:rsids>
    <w:rsidRoot w:val="5C0217AF"/>
    <w:rsid w:val="5C021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character" w:customStyle="1" w:styleId="5">
    <w:name w:val="font11"/>
    <w:basedOn w:val="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2022-10-28T06:54:00Z</dcterms:created>
  <dc:creator>窗台1410343643</dc:creator>
  <cp:lastModifiedBy>窗台1410343643</cp:lastModifiedBy>
  <dcterms:modified xsi:type="dcterms:W3CDTF">2022-10-28T07:02:11Z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F900CFE48CA8410B854A34B6245F4120</vt:lpwstr>
  </property>
</Properties>
</file>