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Times New Roman" w:hAnsi="Times New Roman" w:cs="Times New Roman"/>
          <w:color w:val="auto"/>
          <w:w w:val="100"/>
          <w:kern w:val="0"/>
          <w:sz w:val="24"/>
          <w:szCs w:val="24"/>
          <w:highlight w:val="none"/>
          <w:lang w:val="en-US" w:eastAsia="zh-CN"/>
        </w:rPr>
      </w:pPr>
      <w:bookmarkStart w:id="2" w:name="_GoBack"/>
      <w:bookmarkEnd w:id="2"/>
      <w:bookmarkStart w:id="0" w:name="_Toc3161_WPSOffice_Level1"/>
      <w:bookmarkStart w:id="1" w:name="_Toc27409_WPSOffice_Level1"/>
    </w:p>
    <w:p>
      <w:pPr>
        <w:pStyle w:val="2"/>
        <w:rPr>
          <w:rFonts w:hint="default" w:ascii="Times New Roman" w:hAnsi="Times New Roman" w:eastAsia="宋体" w:cs="Times New Roman"/>
          <w:color w:val="auto"/>
          <w:w w:val="100"/>
          <w:kern w:val="0"/>
          <w:sz w:val="24"/>
          <w:szCs w:val="24"/>
          <w:highlight w:val="none"/>
          <w:lang w:val="en-US" w:eastAsia="zh-CN"/>
        </w:rPr>
      </w:pPr>
      <w:r>
        <w:rPr>
          <w:rFonts w:hint="eastAsia" w:ascii="Times New Roman" w:hAnsi="Times New Roman" w:cs="Times New Roman"/>
          <w:color w:val="auto"/>
          <w:w w:val="100"/>
          <w:kern w:val="0"/>
          <w:sz w:val="24"/>
          <w:szCs w:val="24"/>
          <w:highlight w:val="none"/>
          <w:lang w:val="en-US" w:eastAsia="zh-CN"/>
        </w:rPr>
        <w:t xml:space="preserve">                                                                                                                                     </w:t>
      </w:r>
    </w:p>
    <w:p>
      <w:pPr>
        <w:keepNext w:val="0"/>
        <w:keepLines w:val="0"/>
        <w:pageBreakBefore w:val="0"/>
        <w:kinsoku/>
        <w:wordWrap w:val="0"/>
        <w:overflowPunct/>
        <w:topLinePunct w:val="0"/>
        <w:bidi w:val="0"/>
        <w:spacing w:line="360" w:lineRule="auto"/>
        <w:jc w:val="both"/>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川中养护项目部广南路K632卫子匝道边坡及南广方向K649+943边坡</w:t>
      </w:r>
    </w:p>
    <w:p>
      <w:pPr>
        <w:pStyle w:val="2"/>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处治专项工程劳务合作项目</w:t>
      </w:r>
      <w:r>
        <w:rPr>
          <w:rFonts w:hint="eastAsia" w:ascii="宋体" w:hAnsi="宋体" w:eastAsia="宋体" w:cs="宋体"/>
          <w:b/>
          <w:bCs/>
          <w:color w:val="auto"/>
          <w:sz w:val="30"/>
          <w:szCs w:val="30"/>
          <w:highlight w:val="none"/>
        </w:rPr>
        <w:t>分段划分、工程规模、工期统计表</w:t>
      </w:r>
    </w:p>
    <w:tbl>
      <w:tblPr>
        <w:tblStyle w:val="8"/>
        <w:tblW w:w="10191" w:type="dxa"/>
        <w:tblInd w:w="0" w:type="dxa"/>
        <w:tblLayout w:type="fixed"/>
        <w:tblCellMar>
          <w:top w:w="0" w:type="dxa"/>
          <w:left w:w="0" w:type="dxa"/>
          <w:bottom w:w="0" w:type="dxa"/>
          <w:right w:w="0" w:type="dxa"/>
        </w:tblCellMar>
      </w:tblPr>
      <w:tblGrid>
        <w:gridCol w:w="601"/>
        <w:gridCol w:w="2165"/>
        <w:gridCol w:w="1965"/>
        <w:gridCol w:w="3315"/>
        <w:gridCol w:w="1305"/>
        <w:gridCol w:w="840"/>
      </w:tblGrid>
      <w:tr>
        <w:tblPrEx>
          <w:tblCellMar>
            <w:top w:w="0" w:type="dxa"/>
            <w:left w:w="0" w:type="dxa"/>
            <w:bottom w:w="0" w:type="dxa"/>
            <w:right w:w="0" w:type="dxa"/>
          </w:tblCellMar>
        </w:tblPrEx>
        <w:trPr>
          <w:trHeight w:val="1102" w:hRule="atLeast"/>
          <w:tblHeader/>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4"/>
                <w:szCs w:val="24"/>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p>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包含但不限于以下内容</w:t>
            </w:r>
            <w:r>
              <w:rPr>
                <w:rFonts w:hint="eastAsia" w:ascii="宋体" w:hAnsi="宋体" w:eastAsia="宋体" w:cs="宋体"/>
                <w:color w:val="auto"/>
                <w:kern w:val="0"/>
                <w:sz w:val="24"/>
                <w:szCs w:val="24"/>
                <w:highlight w:val="none"/>
                <w:lang w:eastAsia="zh-CN" w:bidi="ar"/>
              </w:rPr>
              <w:t>）</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84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2025" w:hRule="atLeast"/>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YH-GNBPCZ22-01</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南广向K649+943</w:t>
            </w:r>
          </w:p>
          <w:p>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K632卫子匝道</w:t>
            </w:r>
          </w:p>
          <w:p>
            <w:pPr>
              <w:keepNext w:val="0"/>
              <w:keepLines w:val="0"/>
              <w:widowControl/>
              <w:numPr>
                <w:ilvl w:val="0"/>
                <w:numId w:val="0"/>
              </w:numPr>
              <w:suppressLineNumbers w:val="0"/>
              <w:spacing w:line="240" w:lineRule="auto"/>
              <w:jc w:val="center"/>
              <w:textAlignment w:val="center"/>
              <w:rPr>
                <w:rFonts w:hint="eastAsia" w:ascii="宋体" w:hAnsi="宋体" w:eastAsia="宋体" w:cs="宋体"/>
                <w:sz w:val="24"/>
                <w:szCs w:val="24"/>
                <w:highlight w:val="none"/>
                <w:lang w:val="en-US" w:eastAsia="zh-CN"/>
              </w:rPr>
            </w:pP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ind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边坡防护钻孔注浆，水沟修复，挂网喷砼等</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3个月</w:t>
            </w: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川中养护项目部广南路K632卫子匝道边坡及南广方向K649+943边坡处治专项工程劳务合作项目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8"/>
        <w:tblW w:w="10521" w:type="dxa"/>
        <w:tblInd w:w="0" w:type="dxa"/>
        <w:tblLayout w:type="fixed"/>
        <w:tblCellMar>
          <w:top w:w="0" w:type="dxa"/>
          <w:left w:w="0" w:type="dxa"/>
          <w:bottom w:w="0" w:type="dxa"/>
          <w:right w:w="0" w:type="dxa"/>
        </w:tblCellMar>
      </w:tblPr>
      <w:tblGrid>
        <w:gridCol w:w="609"/>
        <w:gridCol w:w="1932"/>
        <w:gridCol w:w="1497"/>
        <w:gridCol w:w="2533"/>
        <w:gridCol w:w="2855"/>
        <w:gridCol w:w="1095"/>
      </w:tblGrid>
      <w:tr>
        <w:tblPrEx>
          <w:tblCellMar>
            <w:top w:w="0" w:type="dxa"/>
            <w:left w:w="0" w:type="dxa"/>
            <w:bottom w:w="0" w:type="dxa"/>
            <w:right w:w="0" w:type="dxa"/>
          </w:tblCellMar>
        </w:tblPrEx>
        <w:trPr>
          <w:trHeight w:val="687"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序号</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分段名称</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特征</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施工企业资质等级要求</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业绩基本要求</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备注</w:t>
            </w:r>
          </w:p>
        </w:tc>
      </w:tr>
      <w:tr>
        <w:tblPrEx>
          <w:tblCellMar>
            <w:top w:w="0" w:type="dxa"/>
            <w:left w:w="0" w:type="dxa"/>
            <w:bottom w:w="0" w:type="dxa"/>
            <w:right w:w="0" w:type="dxa"/>
          </w:tblCellMar>
        </w:tblPrEx>
        <w:trPr>
          <w:trHeight w:val="3550"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1</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YH-GNBPCZ22-01</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val="0"/>
                <w:bCs w:val="0"/>
                <w:color w:val="000000"/>
                <w:spacing w:val="0"/>
                <w:w w:val="100"/>
                <w:kern w:val="0"/>
                <w:sz w:val="21"/>
                <w:szCs w:val="21"/>
                <w:highlight w:val="yellow"/>
                <w:lang w:val="en-US" w:eastAsia="zh-CN" w:bidi="ar"/>
              </w:rPr>
            </w:pPr>
            <w:r>
              <w:rPr>
                <w:rFonts w:hint="eastAsia" w:ascii="宋体" w:hAnsi="宋体" w:eastAsia="宋体" w:cs="宋体"/>
                <w:kern w:val="2"/>
                <w:sz w:val="21"/>
                <w:szCs w:val="21"/>
                <w:highlight w:val="none"/>
                <w:lang w:val="en-US" w:eastAsia="zh-CN" w:bidi="ar-SA"/>
              </w:rPr>
              <w:t>边坡处治工程</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eastAsia="zh-CN"/>
              </w:rPr>
              <w:t>政府主管部门颁布</w:t>
            </w:r>
            <w:r>
              <w:rPr>
                <w:rFonts w:hint="eastAsia" w:ascii="宋体" w:hAnsi="宋体" w:eastAsia="宋体" w:cs="宋体"/>
                <w:color w:val="auto"/>
                <w:sz w:val="21"/>
                <w:szCs w:val="21"/>
                <w:highlight w:val="none"/>
              </w:rPr>
              <w:t>的施工劳务资质或</w:t>
            </w:r>
            <w:r>
              <w:rPr>
                <w:rFonts w:hint="eastAsia" w:ascii="宋体" w:hAnsi="宋体" w:eastAsia="宋体" w:cs="宋体"/>
                <w:color w:val="auto"/>
                <w:sz w:val="21"/>
                <w:szCs w:val="21"/>
                <w:highlight w:val="none"/>
                <w:lang w:val="en-US" w:eastAsia="zh-CN"/>
              </w:rPr>
              <w:t>公路路基工程专业承包三级及以上</w:t>
            </w:r>
            <w:r>
              <w:rPr>
                <w:rFonts w:hint="eastAsia" w:ascii="宋体" w:hAnsi="宋体" w:eastAsia="宋体" w:cs="宋体"/>
                <w:color w:val="auto"/>
                <w:sz w:val="21"/>
                <w:szCs w:val="21"/>
                <w:highlight w:val="none"/>
              </w:rPr>
              <w:t>资</w:t>
            </w:r>
            <w:r>
              <w:rPr>
                <w:rFonts w:hint="eastAsia" w:ascii="宋体" w:hAnsi="宋体" w:eastAsia="宋体" w:cs="宋体"/>
                <w:color w:val="auto"/>
                <w:sz w:val="21"/>
                <w:szCs w:val="21"/>
                <w:highlight w:val="none"/>
                <w:lang w:val="en-US" w:eastAsia="zh-CN"/>
              </w:rPr>
              <w:t>质</w:t>
            </w:r>
            <w:r>
              <w:rPr>
                <w:rFonts w:hint="eastAsia" w:ascii="宋体" w:hAnsi="宋体" w:eastAsia="宋体" w:cs="宋体"/>
                <w:color w:val="auto"/>
                <w:sz w:val="21"/>
                <w:szCs w:val="21"/>
                <w:highlight w:val="none"/>
                <w:lang w:eastAsia="zh-CN"/>
              </w:rPr>
              <w:t>。</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近5年内（2017年1月1日至今）具有相同或类似的高速公路（新建、改扩建或养护）含边坡、边沟或附属工程施工业绩不少于1个。</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2"/>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1911" w:h="16838"/>
          <w:pgMar w:top="1655" w:right="1179" w:bottom="1355" w:left="1157" w:header="0" w:footer="567" w:gutter="0"/>
          <w:pgNumType w:fmt="decimal" w:start="1"/>
          <w:cols w:space="720" w:num="1"/>
          <w:rtlGutter w:val="0"/>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left="0" w:leftChars="0" w:firstLine="0" w:firstLineChars="0"/>
        <w:jc w:val="both"/>
        <w:rPr>
          <w:rFonts w:hint="eastAsia" w:ascii="仿宋" w:hAnsi="仿宋" w:eastAsia="仿宋" w:cs="仿宋"/>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u w:val="none"/>
          <w:lang w:val="en-US" w:eastAsia="zh-CN" w:bidi="ar"/>
        </w:rPr>
        <w:t>川中养护项目部广南路K632卫子匝道边坡及南广方向K649+943边坡处治专项工程劳务合作项目</w:t>
      </w:r>
      <w:r>
        <w:rPr>
          <w:rFonts w:hint="eastAsia" w:ascii="仿宋" w:hAnsi="仿宋" w:eastAsia="仿宋" w:cs="仿宋"/>
          <w:b/>
          <w:bCs/>
          <w:color w:val="auto"/>
          <w:kern w:val="0"/>
          <w:sz w:val="30"/>
          <w:szCs w:val="30"/>
          <w:highlight w:val="none"/>
          <w:lang w:val="en-US" w:eastAsia="zh-CN" w:bidi="ar-SA"/>
        </w:rPr>
        <w:t>拟</w:t>
      </w:r>
      <w:r>
        <w:rPr>
          <w:rFonts w:hint="eastAsia" w:ascii="宋体" w:hAnsi="宋体" w:eastAsia="宋体" w:cs="宋体"/>
          <w:b/>
          <w:bCs/>
          <w:color w:val="auto"/>
          <w:kern w:val="0"/>
          <w:sz w:val="30"/>
          <w:szCs w:val="30"/>
          <w:highlight w:val="none"/>
          <w:u w:val="none"/>
          <w:lang w:val="en-US" w:eastAsia="zh-CN" w:bidi="ar"/>
        </w:rPr>
        <w:t>投入人员配置表（最低要求）</w:t>
      </w:r>
    </w:p>
    <w:p>
      <w:pPr>
        <w:rPr>
          <w:rFonts w:hint="default" w:ascii="Times New Roman" w:hAnsi="Times New Roman" w:cs="Times New Roman"/>
          <w:color w:val="auto"/>
          <w:w w:val="100"/>
          <w:kern w:val="0"/>
          <w:sz w:val="24"/>
          <w:szCs w:val="24"/>
          <w:highlight w:val="none"/>
          <w:lang w:val="en-US" w:eastAsia="zh-CN"/>
        </w:rPr>
      </w:pPr>
    </w:p>
    <w:tbl>
      <w:tblPr>
        <w:tblStyle w:val="8"/>
        <w:tblW w:w="9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1337"/>
        <w:gridCol w:w="2632"/>
        <w:gridCol w:w="804"/>
        <w:gridCol w:w="2632"/>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 种</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工作任务</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牵头负责项目总体工作</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具有1个及以上高速公路类似</w:t>
            </w:r>
            <w:r>
              <w:rPr>
                <w:rFonts w:hint="eastAsia" w:ascii="宋体" w:hAnsi="宋体" w:eastAsia="宋体" w:cs="宋体"/>
                <w:b w:val="0"/>
                <w:bCs w:val="0"/>
                <w:i w:val="0"/>
                <w:iCs w:val="0"/>
                <w:color w:val="auto"/>
                <w:kern w:val="0"/>
                <w:sz w:val="21"/>
                <w:szCs w:val="21"/>
                <w:u w:val="none"/>
                <w:lang w:val="en-US" w:eastAsia="zh-CN" w:bidi="ar"/>
              </w:rPr>
              <w:t>工程</w:t>
            </w:r>
            <w:r>
              <w:rPr>
                <w:rFonts w:hint="eastAsia" w:ascii="宋体" w:hAnsi="宋体" w:eastAsia="宋体" w:cs="宋体"/>
                <w:i w:val="0"/>
                <w:iCs w:val="0"/>
                <w:color w:val="000000"/>
                <w:kern w:val="0"/>
                <w:sz w:val="21"/>
                <w:szCs w:val="21"/>
                <w:u w:val="none"/>
                <w:lang w:val="en-US" w:eastAsia="zh-CN" w:bidi="ar"/>
              </w:rPr>
              <w:t>施工管理经验，负责施工段落内的施工生产所有工作。</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需提供相关证明材料（如：中标通知书或完整的施工合同）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项目技术负责人</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协助项目负责人负责项目进度、质量等工作</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具有1个及以上高速公路类似工程施工管理经验，负责施工段落内的所有技术管理工作。</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需提供相关证明材料（如：中标通知书或完整的施工合同）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安全员</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协助项目负责人负责安全管理工作</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具有主管部门颁发的安全员C类证书（建安C证或交安C证）。</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内业负责人</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负责协作段落内的所有内业资料工作。</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技术员</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负责现场管理工作</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bookmarkEnd w:id="0"/>
      <w:bookmarkEnd w:id="1"/>
    </w:tbl>
    <w:p>
      <w:pPr>
        <w:pStyle w:val="2"/>
        <w:ind w:left="0" w:leftChars="0" w:firstLine="0" w:firstLineChars="0"/>
      </w:pPr>
    </w:p>
    <w:p>
      <w:pPr>
        <w:rPr>
          <w:color w:val="auto"/>
          <w:w w:val="100"/>
          <w:sz w:val="21"/>
          <w:highlight w:val="none"/>
        </w:rPr>
      </w:pPr>
    </w:p>
    <w:p>
      <w:pPr>
        <w:pStyle w:val="2"/>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rPr>
          <w:color w:val="auto"/>
          <w:w w:val="100"/>
          <w:sz w:val="21"/>
          <w:highlight w:val="none"/>
        </w:rPr>
      </w:pPr>
    </w:p>
    <w:p>
      <w:pPr>
        <w:rPr>
          <w:color w:val="auto"/>
          <w:w w:val="100"/>
          <w:sz w:val="21"/>
          <w:highlight w:val="none"/>
        </w:rPr>
      </w:pPr>
    </w:p>
    <w:p>
      <w:pPr>
        <w:pStyle w:val="2"/>
        <w:ind w:left="0" w:leftChars="0" w:firstLine="0" w:firstLineChars="0"/>
        <w:rPr>
          <w:color w:val="auto"/>
          <w:w w:val="100"/>
          <w:sz w:val="21"/>
          <w:highlight w:val="none"/>
        </w:rPr>
      </w:pPr>
    </w:p>
    <w:p>
      <w:pPr>
        <w:rPr>
          <w:color w:val="auto"/>
          <w:w w:val="100"/>
          <w:sz w:val="21"/>
          <w:highlight w:val="none"/>
        </w:rPr>
      </w:pPr>
    </w:p>
    <w:p>
      <w:pPr>
        <w:pStyle w:val="2"/>
      </w:pPr>
    </w:p>
    <w:p>
      <w:pPr>
        <w:pStyle w:val="2"/>
        <w:ind w:firstLine="0"/>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color w:val="auto"/>
          <w:sz w:val="28"/>
          <w:szCs w:val="28"/>
          <w:highlight w:val="none"/>
          <w:lang w:eastAsia="zh-CN"/>
        </w:rPr>
        <w:t>附表四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川中养护项目部广南路K632卫子匝道边坡及南广方向K649+943边坡处治专项工程劳务合作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p>
    <w:p>
      <w:pPr>
        <w:pStyle w:val="4"/>
        <w:rPr>
          <w:rFonts w:hint="eastAsia"/>
          <w:lang w:val="en-US" w:eastAsia="zh-CN"/>
        </w:rPr>
      </w:pPr>
    </w:p>
    <w:tbl>
      <w:tblPr>
        <w:tblStyle w:val="8"/>
        <w:tblW w:w="5284" w:type="pct"/>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
        <w:gridCol w:w="1056"/>
        <w:gridCol w:w="1163"/>
        <w:gridCol w:w="748"/>
        <w:gridCol w:w="735"/>
        <w:gridCol w:w="748"/>
        <w:gridCol w:w="1109"/>
        <w:gridCol w:w="692"/>
        <w:gridCol w:w="835"/>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6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58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64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41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8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61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46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80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64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41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w:t>
            </w:r>
          </w:p>
          <w:p>
            <w:pPr>
              <w:pStyle w:val="12"/>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设备</w:t>
            </w:r>
          </w:p>
        </w:tc>
        <w:tc>
          <w:tcPr>
            <w:tcW w:w="61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46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0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u w:val="none"/>
                <w:lang w:val="en-US" w:eastAsia="zh-CN" w:bidi="ar"/>
              </w:rPr>
              <w:t>1</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挖机</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180</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Cs/>
                <w:color w:val="auto"/>
                <w:kern w:val="2"/>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1</w:t>
            </w:r>
          </w:p>
        </w:tc>
        <w:tc>
          <w:tcPr>
            <w:tcW w:w="463"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2019年7月及以后</w:t>
            </w:r>
          </w:p>
        </w:tc>
        <w:tc>
          <w:tcPr>
            <w:tcW w:w="804"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自有设备需提供真实、清晰、可查见的购买发票彩色影印件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柴油空压机</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21m</w:t>
            </w:r>
            <w:r>
              <w:rPr>
                <w:rFonts w:hint="eastAsia" w:ascii="宋体" w:hAnsi="宋体" w:cs="宋体"/>
                <w:bCs/>
                <w:color w:val="auto"/>
                <w:kern w:val="2"/>
                <w:sz w:val="21"/>
                <w:szCs w:val="21"/>
                <w:highlight w:val="none"/>
                <w:vertAlign w:val="superscript"/>
                <w:lang w:val="en-US" w:eastAsia="zh-CN" w:bidi="ar-SA"/>
              </w:rPr>
              <w:t>3</w:t>
            </w:r>
            <w:r>
              <w:rPr>
                <w:rFonts w:hint="eastAsia" w:ascii="宋体" w:hAnsi="宋体" w:cs="宋体"/>
                <w:bCs/>
                <w:color w:val="auto"/>
                <w:kern w:val="2"/>
                <w:sz w:val="21"/>
                <w:szCs w:val="21"/>
                <w:highlight w:val="none"/>
                <w:lang w:val="en-US" w:eastAsia="zh-CN" w:bidi="ar-SA"/>
              </w:rPr>
              <w:t>/min</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台</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锚杆钻机</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20型</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台</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1"/>
                <w:szCs w:val="21"/>
                <w:highlight w:val="none"/>
                <w:lang w:val="en-US" w:eastAsia="zh-CN" w:bidi="ar-SA"/>
              </w:rPr>
            </w:pP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混凝土喷射机</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cs="宋体"/>
                <w:bCs w:val="0"/>
                <w:color w:val="auto"/>
                <w:sz w:val="21"/>
                <w:szCs w:val="21"/>
                <w:highlight w:val="none"/>
                <w:lang w:val="en-US" w:eastAsia="zh-CN"/>
              </w:rPr>
              <w:t>5m</w:t>
            </w:r>
            <w:r>
              <w:rPr>
                <w:rFonts w:hint="eastAsia" w:ascii="宋体" w:hAnsi="宋体" w:cs="宋体"/>
                <w:bCs w:val="0"/>
                <w:color w:val="auto"/>
                <w:sz w:val="21"/>
                <w:szCs w:val="21"/>
                <w:highlight w:val="none"/>
                <w:vertAlign w:val="superscript"/>
                <w:lang w:val="en-US" w:eastAsia="zh-CN"/>
              </w:rPr>
              <w:t>3</w:t>
            </w:r>
            <w:r>
              <w:rPr>
                <w:rFonts w:hint="eastAsia" w:ascii="宋体" w:hAnsi="宋体" w:cs="宋体"/>
                <w:bCs w:val="0"/>
                <w:color w:val="auto"/>
                <w:sz w:val="21"/>
                <w:szCs w:val="21"/>
                <w:highlight w:val="none"/>
                <w:lang w:val="en-US" w:eastAsia="zh-CN"/>
              </w:rPr>
              <w:t>/h</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套</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1"/>
                <w:szCs w:val="21"/>
                <w:highlight w:val="none"/>
                <w:lang w:val="en-US" w:eastAsia="zh-CN" w:bidi="ar-SA"/>
              </w:rPr>
            </w:pP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运输车</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四轴车辆</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辆</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2"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洒水车</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12方</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辆</w:t>
            </w:r>
          </w:p>
        </w:tc>
        <w:tc>
          <w:tcPr>
            <w:tcW w:w="4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1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1"/>
                <w:szCs w:val="21"/>
                <w:highlight w:val="none"/>
                <w:lang w:val="en-US" w:eastAsia="zh-CN" w:bidi="ar-SA"/>
              </w:rPr>
            </w:pP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463"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c>
          <w:tcPr>
            <w:tcW w:w="804"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r>
    </w:tbl>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0"/>
        </w:numPr>
        <w:tabs>
          <w:tab w:val="left" w:pos="4575"/>
        </w:tabs>
        <w:spacing w:line="360" w:lineRule="auto"/>
        <w:ind w:firstLine="360" w:firstLineChars="200"/>
        <w:jc w:val="left"/>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3"/>
        <w:keepNext/>
        <w:keepLines/>
        <w:pageBreakBefore w:val="0"/>
        <w:widowControl w:val="0"/>
        <w:tabs>
          <w:tab w:val="left" w:pos="4575"/>
        </w:tabs>
        <w:kinsoku/>
        <w:wordWrap/>
        <w:overflowPunct/>
        <w:topLinePunct w:val="0"/>
        <w:autoSpaceDE/>
        <w:autoSpaceDN/>
        <w:bidi w:val="0"/>
        <w:adjustRightInd/>
        <w:snapToGrid/>
        <w:spacing w:line="716" w:lineRule="exact"/>
        <w:ind w:left="0"/>
        <w:jc w:val="center"/>
        <w:textAlignment w:val="auto"/>
        <w:outlineLvl w:val="0"/>
        <w:rPr>
          <w:color w:val="auto"/>
          <w:w w:val="10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76DA1DBD"/>
    <w:rsid w:val="061E0E46"/>
    <w:rsid w:val="0E3E7E55"/>
    <w:rsid w:val="1B66024B"/>
    <w:rsid w:val="23600FC9"/>
    <w:rsid w:val="76DA1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4">
    <w:name w:val="Body Text"/>
    <w:basedOn w:val="1"/>
    <w:next w:val="1"/>
    <w:qFormat/>
    <w:uiPriority w:val="0"/>
    <w:pPr>
      <w:spacing w:after="120"/>
    </w:pPr>
    <w:rPr>
      <w:rFonts w:eastAsia="微软雅黑"/>
      <w:szCs w:val="24"/>
    </w:rPr>
  </w:style>
  <w:style w:type="paragraph" w:styleId="5">
    <w:name w:val="Body Text Indent"/>
    <w:basedOn w:val="1"/>
    <w:uiPriority w:val="0"/>
    <w:pPr>
      <w:spacing w:after="120"/>
      <w:ind w:left="420" w:leftChars="200"/>
    </w:pPr>
    <w:rPr>
      <w:rFonts w:eastAsia="微软雅黑"/>
      <w:szCs w:val="24"/>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rPr>
      <w:rFonts w:ascii="Calibri" w:hAnsi="Calibri"/>
    </w:rPr>
  </w:style>
  <w:style w:type="character" w:styleId="10">
    <w:name w:val="Hyperlink"/>
    <w:uiPriority w:val="99"/>
    <w:rPr>
      <w:color w:val="0000FF"/>
      <w:u w:val="single"/>
    </w:rPr>
  </w:style>
  <w:style w:type="paragraph" w:customStyle="1" w:styleId="11">
    <w:name w:val="p0"/>
    <w:basedOn w:val="1"/>
    <w:qFormat/>
    <w:uiPriority w:val="99"/>
    <w:pPr>
      <w:widowControl/>
      <w:jc w:val="left"/>
    </w:pPr>
    <w:rPr>
      <w:rFonts w:cs="宋体"/>
      <w:kern w:val="0"/>
      <w:szCs w:val="21"/>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4065</Words>
  <Characters>4617</Characters>
  <Lines>0</Lines>
  <Paragraphs>0</Paragraphs>
  <TotalTime>6</TotalTime>
  <ScaleCrop>false</ScaleCrop>
  <LinksUpToDate>false</LinksUpToDate>
  <CharactersWithSpaces>4888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2022-07-25T09:15:00Z</dcterms:created>
  <dc:creator>xianjiali</dc:creator>
  <cp:lastModifiedBy>Sensual</cp:lastModifiedBy>
  <dcterms:modified xsi:type="dcterms:W3CDTF">2022-07-27T01:28:36Z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8E3B7F5DA0234CB4A0A800E4680C863F</vt:lpwstr>
  </property>
</Properties>
</file>