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bookmarkStart w:id="1" w:name="_GoBack"/>
      <w:bookmarkEnd w:id="1"/>
      <w:r>
        <w:rPr>
          <w:rFonts w:hint="eastAsia" w:ascii="宋体" w:hAnsi="宋体" w:eastAsia="宋体" w:cs="宋体"/>
          <w:b/>
          <w:bCs/>
          <w:sz w:val="28"/>
          <w:szCs w:val="28"/>
        </w:rPr>
        <w:t>附表一</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南充至成都高速公路扩容工程LJ4-1标上边坡防护工程劳务合作</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工程段划分、工程规模、工期统计表</w:t>
      </w:r>
    </w:p>
    <w:tbl>
      <w:tblPr>
        <w:tblStyle w:val="10"/>
        <w:tblW w:w="13400" w:type="dxa"/>
        <w:tblInd w:w="93" w:type="dxa"/>
        <w:tblLayout w:type="fixed"/>
        <w:tblCellMar>
          <w:top w:w="0" w:type="dxa"/>
          <w:left w:w="108" w:type="dxa"/>
          <w:bottom w:w="0" w:type="dxa"/>
          <w:right w:w="108" w:type="dxa"/>
        </w:tblCellMar>
      </w:tblPr>
      <w:tblGrid>
        <w:gridCol w:w="417"/>
        <w:gridCol w:w="1093"/>
        <w:gridCol w:w="2766"/>
        <w:gridCol w:w="4444"/>
        <w:gridCol w:w="2340"/>
        <w:gridCol w:w="2340"/>
      </w:tblGrid>
      <w:tr>
        <w:tblPrEx>
          <w:tblCellMar>
            <w:top w:w="0" w:type="dxa"/>
            <w:left w:w="108" w:type="dxa"/>
            <w:bottom w:w="0" w:type="dxa"/>
            <w:right w:w="108" w:type="dxa"/>
          </w:tblCellMar>
        </w:tblPrEx>
        <w:trPr>
          <w:trHeight w:val="501"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序号</w:t>
            </w:r>
          </w:p>
        </w:tc>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分段名称</w:t>
            </w:r>
          </w:p>
        </w:tc>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桩号</w:t>
            </w:r>
          </w:p>
        </w:tc>
        <w:tc>
          <w:tcPr>
            <w:tcW w:w="44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kern w:val="0"/>
                <w:sz w:val="20"/>
                <w:szCs w:val="20"/>
                <w:lang w:bidi="ar"/>
              </w:rPr>
            </w:pPr>
            <w:r>
              <w:rPr>
                <w:rFonts w:hint="eastAsia" w:ascii="宋体" w:hAnsi="宋体" w:cs="宋体"/>
                <w:b/>
                <w:bCs/>
                <w:kern w:val="0"/>
                <w:sz w:val="20"/>
                <w:szCs w:val="20"/>
                <w:lang w:bidi="ar"/>
              </w:rPr>
              <w:t>工程内容</w:t>
            </w:r>
          </w:p>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（包含但不限于以下内容）</w:t>
            </w:r>
          </w:p>
        </w:tc>
        <w:tc>
          <w:tcPr>
            <w:tcW w:w="2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工期</w:t>
            </w:r>
          </w:p>
        </w:tc>
        <w:tc>
          <w:tcPr>
            <w:tcW w:w="2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备注</w:t>
            </w:r>
          </w:p>
        </w:tc>
      </w:tr>
      <w:tr>
        <w:tblPrEx>
          <w:tblCellMar>
            <w:top w:w="0" w:type="dxa"/>
            <w:left w:w="108" w:type="dxa"/>
            <w:bottom w:w="0" w:type="dxa"/>
            <w:right w:w="108" w:type="dxa"/>
          </w:tblCellMar>
        </w:tblPrEx>
        <w:trPr>
          <w:trHeight w:val="501"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c>
          <w:tcPr>
            <w:tcW w:w="4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rPr>
            </w:pPr>
          </w:p>
        </w:tc>
      </w:tr>
      <w:tr>
        <w:tblPrEx>
          <w:tblCellMar>
            <w:top w:w="0" w:type="dxa"/>
            <w:left w:w="108" w:type="dxa"/>
            <w:bottom w:w="0" w:type="dxa"/>
            <w:right w:w="108" w:type="dxa"/>
          </w:tblCellMar>
        </w:tblPrEx>
        <w:trPr>
          <w:trHeight w:val="3653" w:hRule="atLeast"/>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LJ4-1-13</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rPr>
              <w:t>K1761+114.721~K1775+461、K1780+612~K1795+080</w:t>
            </w:r>
          </w:p>
        </w:tc>
        <w:tc>
          <w:tcPr>
            <w:tcW w:w="444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jc w:val="center"/>
              <w:textAlignment w:val="center"/>
              <w:rPr>
                <w:rFonts w:hint="eastAsia" w:ascii="宋体" w:hAnsi="宋体" w:cs="宋体"/>
                <w:sz w:val="18"/>
                <w:szCs w:val="18"/>
              </w:rPr>
            </w:pPr>
            <w:r>
              <w:rPr>
                <w:rFonts w:hint="eastAsia" w:ascii="宋体" w:hAnsi="宋体" w:cs="宋体"/>
                <w:szCs w:val="21"/>
              </w:rPr>
              <w:t>上边坡防护（锚杆边坡加固）（详见招标清单）</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highlight w:val="none"/>
                <w:lang w:bidi="ar"/>
              </w:rPr>
              <w:t>12个月</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bidi="ar"/>
              </w:rPr>
              <w:t>本次招标工程数量为暂定，最终以实际实施数量和招标人确认为准。</w:t>
            </w:r>
            <w:r>
              <w:rPr>
                <w:rFonts w:hint="eastAsia" w:ascii="宋体" w:hAnsi="宋体" w:cs="宋体"/>
                <w:kern w:val="0"/>
                <w:sz w:val="18"/>
                <w:szCs w:val="18"/>
                <w:lang w:val="en-US" w:eastAsia="zh-CN" w:bidi="ar"/>
              </w:rPr>
              <w:t>工期暂定12个月，最终以招标人书面通知为准。</w:t>
            </w:r>
          </w:p>
        </w:tc>
      </w:tr>
    </w:tbl>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18"/>
          <w:szCs w:val="18"/>
        </w:rPr>
      </w:pP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rPr>
      </w:pPr>
    </w:p>
    <w:p>
      <w:pPr>
        <w:pStyle w:val="2"/>
        <w:rPr>
          <w:rFonts w:hint="eastAsia"/>
        </w:rPr>
      </w:pPr>
    </w:p>
    <w:p>
      <w:pPr>
        <w:pStyle w:val="3"/>
        <w:rPr>
          <w:rFonts w:hint="eastAsia"/>
        </w:rPr>
        <w:sectPr>
          <w:footerReference r:id="rId3" w:type="default"/>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rPr>
        <w:t>南充至成都高速公路扩容工程LJ4-1标上边坡防护工程劳务合作</w:t>
      </w:r>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rPr>
        <w:t>施工企业资质等级要求、业绩基本要求</w:t>
      </w:r>
    </w:p>
    <w:p>
      <w:pPr>
        <w:pStyle w:val="2"/>
        <w:ind w:firstLine="0"/>
        <w:jc w:val="center"/>
        <w:rPr>
          <w:rFonts w:hint="eastAsia" w:ascii="宋体" w:hAnsi="宋体" w:eastAsia="宋体" w:cs="宋体"/>
          <w:b/>
          <w:bCs/>
          <w:sz w:val="28"/>
          <w:szCs w:val="28"/>
        </w:rPr>
      </w:pPr>
    </w:p>
    <w:tbl>
      <w:tblPr>
        <w:tblStyle w:val="10"/>
        <w:tblW w:w="10166" w:type="dxa"/>
        <w:jc w:val="center"/>
        <w:tblLayout w:type="fixed"/>
        <w:tblCellMar>
          <w:top w:w="0" w:type="dxa"/>
          <w:left w:w="0" w:type="dxa"/>
          <w:bottom w:w="0" w:type="dxa"/>
          <w:right w:w="0" w:type="dxa"/>
        </w:tblCellMar>
      </w:tblPr>
      <w:tblGrid>
        <w:gridCol w:w="1470"/>
        <w:gridCol w:w="1256"/>
        <w:gridCol w:w="2276"/>
        <w:gridCol w:w="4107"/>
        <w:gridCol w:w="1057"/>
      </w:tblGrid>
      <w:tr>
        <w:tblPrEx>
          <w:tblCellMar>
            <w:top w:w="0" w:type="dxa"/>
            <w:left w:w="0" w:type="dxa"/>
            <w:bottom w:w="0" w:type="dxa"/>
            <w:right w:w="0" w:type="dxa"/>
          </w:tblCellMar>
        </w:tblPrEx>
        <w:trPr>
          <w:trHeight w:val="1020" w:hRule="exac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2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5"/>
              <w:kinsoku w:val="0"/>
              <w:overflowPunct w:val="0"/>
              <w:spacing w:line="239" w:lineRule="exact"/>
              <w:ind w:left="426" w:right="344"/>
              <w:jc w:val="center"/>
              <w:rPr>
                <w:rFonts w:hint="eastAsia"/>
                <w:szCs w:val="21"/>
              </w:rPr>
            </w:pPr>
            <w:r>
              <w:rPr>
                <w:rFonts w:hint="eastAsia"/>
                <w:szCs w:val="21"/>
              </w:rPr>
              <w:t>施工企业资质等级要求</w:t>
            </w:r>
          </w:p>
        </w:tc>
        <w:tc>
          <w:tcPr>
            <w:tcW w:w="41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5"/>
              <w:kinsoku w:val="0"/>
              <w:overflowPunct w:val="0"/>
              <w:spacing w:line="239" w:lineRule="exact"/>
              <w:ind w:left="426" w:right="344"/>
              <w:jc w:val="center"/>
              <w:rPr>
                <w:rFonts w:hint="eastAsia"/>
                <w:szCs w:val="21"/>
              </w:rPr>
            </w:pPr>
            <w:r>
              <w:rPr>
                <w:rFonts w:hint="eastAsia"/>
                <w:szCs w:val="21"/>
              </w:rPr>
              <w:t>业绩基本要求</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2347" w:hRule="atLeas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 w:val="18"/>
                <w:szCs w:val="18"/>
              </w:rPr>
              <w:t>LJ4-1-13</w:t>
            </w:r>
          </w:p>
        </w:tc>
        <w:tc>
          <w:tcPr>
            <w:tcW w:w="12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上边坡防护（锚杆边坡加固）</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kern w:val="0"/>
                <w:sz w:val="18"/>
                <w:szCs w:val="18"/>
                <w:lang w:bidi="ar"/>
              </w:rPr>
              <w:t>具有政府主管部门颁发的施工劳务资质或公路工程施工总承包叁级及以上资质</w:t>
            </w:r>
          </w:p>
        </w:tc>
        <w:tc>
          <w:tcPr>
            <w:tcW w:w="41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近五年内（自2017年1月1日起至今，以项目交工验收时间或劳务合同约定完工时间为</w:t>
            </w:r>
            <w:r>
              <w:rPr>
                <w:rFonts w:hint="eastAsia" w:ascii="宋体" w:hAnsi="宋体" w:cs="宋体"/>
                <w:color w:val="auto"/>
                <w:szCs w:val="21"/>
                <w:highlight w:val="none"/>
              </w:rPr>
              <w:t>准）完成类似的边坡防护工程施工业绩1个，合同总金额在</w:t>
            </w:r>
            <w:r>
              <w:rPr>
                <w:rFonts w:hint="eastAsia" w:ascii="宋体" w:hAnsi="宋体" w:cs="宋体"/>
                <w:color w:val="auto"/>
                <w:szCs w:val="21"/>
                <w:highlight w:val="none"/>
                <w:lang w:val="en-US" w:eastAsia="zh-CN"/>
              </w:rPr>
              <w:t>240</w:t>
            </w:r>
            <w:r>
              <w:rPr>
                <w:rFonts w:hint="eastAsia" w:ascii="宋体" w:hAnsi="宋体" w:cs="宋体"/>
                <w:color w:val="auto"/>
                <w:szCs w:val="21"/>
                <w:highlight w:val="none"/>
              </w:rPr>
              <w:t>万元(含)以上，或完成的1个路基工程施工业绩中锚杆边坡加固合同金额在</w:t>
            </w:r>
            <w:r>
              <w:rPr>
                <w:rFonts w:hint="eastAsia" w:ascii="宋体" w:hAnsi="宋体" w:cs="宋体"/>
                <w:color w:val="auto"/>
                <w:szCs w:val="21"/>
                <w:highlight w:val="none"/>
                <w:lang w:val="en-US" w:eastAsia="zh-CN"/>
              </w:rPr>
              <w:t>240</w:t>
            </w:r>
            <w:r>
              <w:rPr>
                <w:rFonts w:hint="eastAsia" w:ascii="宋体" w:hAnsi="宋体" w:cs="宋体"/>
                <w:color w:val="auto"/>
                <w:szCs w:val="21"/>
                <w:highlight w:val="none"/>
              </w:rPr>
              <w:t>万元(含)以上</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以提供的合同协议书为准</w:t>
            </w:r>
          </w:p>
        </w:tc>
      </w:tr>
    </w:tbl>
    <w:p>
      <w:pPr>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rPr>
      </w:pPr>
    </w:p>
    <w:p>
      <w:pPr>
        <w:pStyle w:val="2"/>
        <w:ind w:firstLine="0"/>
        <w:rPr>
          <w:rFonts w:hint="eastAsia" w:ascii="宋体" w:hAnsi="宋体" w:eastAsia="宋体" w:cs="宋体"/>
          <w:b/>
          <w:bCs/>
          <w:sz w:val="28"/>
          <w:szCs w:val="28"/>
        </w:rPr>
      </w:pPr>
    </w:p>
    <w:p>
      <w:pPr>
        <w:rPr>
          <w:rFonts w:hint="eastAsia" w:ascii="宋体" w:hAnsi="宋体" w:cs="宋体"/>
          <w:b/>
          <w:bCs/>
          <w:sz w:val="28"/>
          <w:szCs w:val="28"/>
        </w:rPr>
      </w:pPr>
    </w:p>
    <w:p>
      <w:pPr>
        <w:rPr>
          <w:rFonts w:hint="eastAsia" w:ascii="宋体" w:hAnsi="宋体" w:cs="宋体"/>
          <w:b/>
          <w:bCs/>
          <w:sz w:val="28"/>
          <w:szCs w:val="28"/>
        </w:rPr>
      </w:pPr>
    </w:p>
    <w:p>
      <w:pPr>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ascii="宋体" w:hAnsi="宋体" w:eastAsia="宋体" w:cs="宋体"/>
          <w:b/>
          <w:bCs/>
          <w:sz w:val="28"/>
          <w:szCs w:val="28"/>
        </w:rPr>
      </w:pPr>
    </w:p>
    <w:p>
      <w:pPr>
        <w:rPr>
          <w:rFonts w:hint="eastAsia" w:ascii="宋体" w:hAnsi="宋体" w:cs="宋体"/>
          <w:b/>
          <w:bCs/>
          <w:sz w:val="28"/>
          <w:szCs w:val="28"/>
        </w:rPr>
      </w:pPr>
    </w:p>
    <w:p>
      <w:pPr>
        <w:pStyle w:val="2"/>
        <w:rPr>
          <w:rFonts w:hint="eastAsia"/>
        </w:rPr>
      </w:pPr>
    </w:p>
    <w:p>
      <w:pPr>
        <w:rPr>
          <w:rFonts w:hint="eastAsia" w:ascii="宋体" w:hAnsi="宋体" w:cs="宋体"/>
          <w:b/>
          <w:bCs/>
          <w:sz w:val="28"/>
          <w:szCs w:val="28"/>
        </w:rPr>
      </w:pPr>
      <w:r>
        <w:rPr>
          <w:rFonts w:hint="eastAsia" w:ascii="宋体" w:hAnsi="宋体" w:cs="宋体"/>
          <w:b/>
          <w:bCs/>
          <w:sz w:val="28"/>
          <w:szCs w:val="28"/>
        </w:rPr>
        <w:t>附表三</w:t>
      </w:r>
    </w:p>
    <w:p>
      <w:pPr>
        <w:pStyle w:val="2"/>
        <w:ind w:firstLine="0"/>
        <w:jc w:val="center"/>
        <w:rPr>
          <w:rFonts w:hint="eastAsia" w:ascii="宋体" w:hAnsi="宋体" w:eastAsia="宋体" w:cs="宋体"/>
          <w:b/>
          <w:bCs/>
          <w:sz w:val="24"/>
          <w:szCs w:val="24"/>
        </w:rPr>
      </w:pPr>
    </w:p>
    <w:p>
      <w:pPr>
        <w:pStyle w:val="2"/>
        <w:ind w:firstLine="0"/>
        <w:jc w:val="center"/>
        <w:rPr>
          <w:rFonts w:hint="eastAsia" w:ascii="宋体" w:hAnsi="宋体" w:eastAsia="宋体" w:cs="宋体"/>
          <w:b/>
          <w:bCs/>
          <w:sz w:val="24"/>
          <w:szCs w:val="24"/>
        </w:rPr>
      </w:pPr>
    </w:p>
    <w:p>
      <w:pPr>
        <w:pStyle w:val="2"/>
        <w:ind w:firstLine="0"/>
        <w:jc w:val="center"/>
        <w:rPr>
          <w:rFonts w:hint="eastAsia" w:ascii="宋体" w:hAnsi="宋体" w:eastAsia="宋体" w:cs="宋体"/>
          <w:b/>
          <w:bCs/>
          <w:sz w:val="24"/>
          <w:szCs w:val="24"/>
        </w:rPr>
      </w:pPr>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rPr>
        <w:t>南充至成都高速公路扩容工程LJ4-1标工程劳务合作</w:t>
      </w:r>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rPr>
        <w:t>拟投入人员配置表(最低要求）</w:t>
      </w:r>
    </w:p>
    <w:tbl>
      <w:tblPr>
        <w:tblStyle w:val="10"/>
        <w:tblW w:w="895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3"/>
        <w:gridCol w:w="1363"/>
        <w:gridCol w:w="2265"/>
        <w:gridCol w:w="1987"/>
        <w:gridCol w:w="280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26" w:hRule="atLeast"/>
        </w:trPr>
        <w:tc>
          <w:tcPr>
            <w:tcW w:w="54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36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26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人数</w:t>
            </w:r>
          </w:p>
        </w:tc>
        <w:tc>
          <w:tcPr>
            <w:tcW w:w="280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8"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项目负责人</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生产管理</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2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80"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项目技术负责人</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技术管理</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2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有边坡加固施工经验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05"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安全负责人</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安全管理</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2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4"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技术员</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szCs w:val="21"/>
              </w:rPr>
              <w:t>负责现场测量、放线、施工管理、记录表、内业资料</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bl>
    <w:p>
      <w:pPr>
        <w:rPr>
          <w:rFonts w:ascii="宋体" w:hAnsi="宋体" w:cs="宋体"/>
        </w:rPr>
      </w:pPr>
    </w:p>
    <w:p>
      <w:pPr>
        <w:rPr>
          <w:rFonts w:hint="eastAsia"/>
        </w:rPr>
      </w:pPr>
    </w:p>
    <w:p>
      <w:pPr>
        <w:widowControl/>
        <w:jc w:val="left"/>
        <w:rPr>
          <w:rFonts w:hint="eastAsia" w:ascii="宋体" w:hAnsi="宋体" w:cs="宋体"/>
          <w:szCs w:val="21"/>
        </w:rPr>
      </w:pPr>
      <w:r>
        <w:rPr>
          <w:rFonts w:hint="eastAsia" w:ascii="宋体" w:hAnsi="宋体" w:cs="宋体"/>
          <w:szCs w:val="21"/>
        </w:rPr>
        <w:t>注：</w:t>
      </w:r>
    </w:p>
    <w:p>
      <w:pPr>
        <w:widowControl/>
        <w:ind w:firstLine="420" w:firstLineChars="200"/>
        <w:jc w:val="left"/>
        <w:rPr>
          <w:rFonts w:hint="eastAsia" w:ascii="宋体" w:hAnsi="宋体" w:cs="宋体"/>
          <w:szCs w:val="21"/>
        </w:rPr>
      </w:pPr>
      <w:r>
        <w:rPr>
          <w:rFonts w:hint="eastAsia" w:ascii="宋体" w:hAnsi="宋体" w:cs="宋体"/>
          <w:szCs w:val="21"/>
        </w:rPr>
        <w:t>1、主要人员的最低要求，投标人应根据施工需要或招标人的要求增加相关人员。</w:t>
      </w:r>
    </w:p>
    <w:p>
      <w:pPr>
        <w:widowControl/>
        <w:ind w:firstLine="420" w:firstLineChars="200"/>
        <w:jc w:val="left"/>
        <w:rPr>
          <w:rFonts w:hint="eastAsia" w:ascii="宋体" w:hAnsi="宋体" w:cs="宋体"/>
          <w:szCs w:val="21"/>
        </w:rPr>
      </w:pPr>
      <w:r>
        <w:rPr>
          <w:rFonts w:hint="eastAsia" w:ascii="宋体" w:hAnsi="宋体" w:cs="宋体"/>
          <w:szCs w:val="21"/>
        </w:rPr>
        <w:t>2、如因投标人的原因(除不可抗拒因素外)更换上述主要人员（项目负责人、</w:t>
      </w:r>
      <w:r>
        <w:rPr>
          <w:rFonts w:hint="eastAsia" w:ascii="宋体" w:hAnsi="宋体" w:cs="宋体"/>
          <w:kern w:val="0"/>
          <w:szCs w:val="21"/>
          <w:lang w:bidi="ar"/>
        </w:rPr>
        <w:t>项目技术负责人</w:t>
      </w:r>
      <w:r>
        <w:rPr>
          <w:rFonts w:hint="eastAsia" w:ascii="宋体" w:hAnsi="宋体" w:cs="宋体"/>
          <w:szCs w:val="21"/>
        </w:rPr>
        <w:t>、</w:t>
      </w:r>
      <w:r>
        <w:rPr>
          <w:rFonts w:hint="eastAsia" w:ascii="宋体" w:hAnsi="宋体" w:cs="宋体"/>
          <w:kern w:val="0"/>
          <w:szCs w:val="21"/>
          <w:lang w:bidi="ar"/>
        </w:rPr>
        <w:t>安全负责人</w:t>
      </w:r>
      <w:r>
        <w:rPr>
          <w:rFonts w:hint="eastAsia" w:ascii="宋体" w:hAnsi="宋体" w:cs="宋体"/>
          <w:szCs w:val="21"/>
        </w:rPr>
        <w:t>），须报请招标人批准，更换人员的资质不能低于招标文件要求，自行更换主要负责人的，对投标人按每人次处以50万元人民币违约金。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szCs w:val="21"/>
        </w:rPr>
      </w:pPr>
      <w:r>
        <w:rPr>
          <w:rFonts w:hint="eastAsia" w:ascii="宋体" w:hAnsi="宋体" w:cs="宋体"/>
          <w:szCs w:val="21"/>
        </w:rPr>
        <w:t>3、相关管理人员及技术人员必须在岗，有特殊情况离岗必须向项目部请假并得到批准。</w:t>
      </w:r>
    </w:p>
    <w:p>
      <w:pPr>
        <w:pStyle w:val="2"/>
        <w:ind w:firstLine="0"/>
        <w:jc w:val="left"/>
        <w:outlineLvl w:val="2"/>
        <w:rPr>
          <w:rFonts w:ascii="宋体" w:hAnsi="宋体" w:eastAsia="宋体" w:cs="宋体"/>
          <w:sz w:val="28"/>
          <w:szCs w:val="28"/>
        </w:rPr>
      </w:pPr>
      <w:r>
        <w:rPr>
          <w:rFonts w:hint="eastAsia" w:ascii="宋体" w:hAnsi="宋体" w:eastAsia="宋体" w:cs="宋体"/>
          <w:b/>
          <w:bCs/>
          <w:sz w:val="28"/>
          <w:szCs w:val="28"/>
        </w:rPr>
        <w:br w:type="page"/>
      </w:r>
      <w:r>
        <w:rPr>
          <w:rFonts w:hint="eastAsia" w:ascii="宋体" w:hAnsi="宋体" w:eastAsia="宋体" w:cs="宋体"/>
          <w:sz w:val="28"/>
          <w:szCs w:val="28"/>
        </w:rPr>
        <w:t>附表四</w:t>
      </w:r>
    </w:p>
    <w:p>
      <w:pPr>
        <w:pStyle w:val="2"/>
        <w:ind w:firstLine="0"/>
        <w:jc w:val="center"/>
        <w:rPr>
          <w:rFonts w:hint="eastAsia" w:ascii="宋体" w:hAnsi="宋体" w:eastAsia="宋体" w:cs="宋体"/>
          <w:b/>
          <w:bCs/>
          <w:sz w:val="28"/>
          <w:szCs w:val="28"/>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南充至成都高速公路扩容工程LJ4-1标上边坡防护工程劳务合作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拟投入设备明细表(最低要求）</w:t>
      </w:r>
    </w:p>
    <w:p>
      <w:pPr>
        <w:rPr>
          <w:rFonts w:hint="eastAsia"/>
        </w:rPr>
      </w:pPr>
    </w:p>
    <w:p>
      <w:r>
        <w:rPr>
          <w:rFonts w:hint="eastAsia"/>
        </w:rPr>
        <w:t>本表适用LJ4-1-13</w:t>
      </w:r>
    </w:p>
    <w:tbl>
      <w:tblPr>
        <w:tblStyle w:val="10"/>
        <w:tblW w:w="4983" w:type="pct"/>
        <w:jc w:val="center"/>
        <w:tblLayout w:type="autofit"/>
        <w:tblCellMar>
          <w:top w:w="0" w:type="dxa"/>
          <w:left w:w="108" w:type="dxa"/>
          <w:bottom w:w="0" w:type="dxa"/>
          <w:right w:w="108" w:type="dxa"/>
        </w:tblCellMar>
      </w:tblPr>
      <w:tblGrid>
        <w:gridCol w:w="396"/>
        <w:gridCol w:w="1867"/>
        <w:gridCol w:w="670"/>
        <w:gridCol w:w="2416"/>
        <w:gridCol w:w="974"/>
        <w:gridCol w:w="941"/>
        <w:gridCol w:w="1096"/>
        <w:gridCol w:w="1455"/>
      </w:tblGrid>
      <w:tr>
        <w:tblPrEx>
          <w:tblCellMar>
            <w:top w:w="0" w:type="dxa"/>
            <w:left w:w="108" w:type="dxa"/>
            <w:bottom w:w="0" w:type="dxa"/>
            <w:right w:w="108" w:type="dxa"/>
          </w:tblCellMar>
        </w:tblPrEx>
        <w:trPr>
          <w:trHeight w:val="397" w:hRule="atLeast"/>
          <w:jc w:val="center"/>
        </w:trPr>
        <w:tc>
          <w:tcPr>
            <w:tcW w:w="201"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kinsoku w:val="0"/>
              <w:overflowPunct w:val="0"/>
              <w:spacing w:line="260" w:lineRule="exact"/>
              <w:jc w:val="center"/>
              <w:rPr>
                <w:rFonts w:hint="eastAsia"/>
                <w:sz w:val="18"/>
                <w:szCs w:val="18"/>
                <w:lang w:val="en-US"/>
              </w:rPr>
            </w:pPr>
            <w:r>
              <w:rPr>
                <w:rFonts w:hint="eastAsia"/>
                <w:sz w:val="18"/>
                <w:szCs w:val="18"/>
                <w:lang w:val="en-US"/>
              </w:rPr>
              <w:t>序号</w:t>
            </w:r>
          </w:p>
        </w:tc>
        <w:tc>
          <w:tcPr>
            <w:tcW w:w="951"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kinsoku w:val="0"/>
              <w:overflowPunct w:val="0"/>
              <w:spacing w:line="260" w:lineRule="exact"/>
              <w:jc w:val="center"/>
              <w:rPr>
                <w:rFonts w:hint="eastAsia"/>
                <w:sz w:val="18"/>
                <w:szCs w:val="18"/>
              </w:rPr>
            </w:pPr>
            <w:r>
              <w:rPr>
                <w:rFonts w:hint="eastAsia"/>
                <w:sz w:val="18"/>
                <w:szCs w:val="18"/>
              </w:rPr>
              <w:t>机械设备名称</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18"/>
                <w:szCs w:val="18"/>
              </w:rPr>
            </w:pPr>
            <w:r>
              <w:rPr>
                <w:rFonts w:hint="eastAsia" w:ascii="宋体" w:hAnsi="宋体" w:cs="宋体"/>
                <w:sz w:val="18"/>
                <w:szCs w:val="18"/>
              </w:rPr>
              <w:t>单位</w:t>
            </w:r>
          </w:p>
        </w:tc>
        <w:tc>
          <w:tcPr>
            <w:tcW w:w="1726" w:type="pct"/>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60" w:lineRule="exact"/>
              <w:ind w:firstLine="180" w:firstLineChars="100"/>
              <w:jc w:val="center"/>
              <w:rPr>
                <w:rFonts w:hint="eastAsia"/>
                <w:sz w:val="18"/>
                <w:szCs w:val="18"/>
                <w:lang w:val="en-US" w:bidi="ar-SA"/>
              </w:rPr>
            </w:pPr>
            <w:r>
              <w:rPr>
                <w:rFonts w:hint="eastAsia"/>
                <w:sz w:val="18"/>
                <w:szCs w:val="18"/>
                <w:lang w:val="en-US" w:bidi="ar-SA"/>
              </w:rPr>
              <w:t>基本要求</w:t>
            </w:r>
          </w:p>
        </w:tc>
        <w:tc>
          <w:tcPr>
            <w:tcW w:w="47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kinsoku w:val="0"/>
              <w:overflowPunct w:val="0"/>
              <w:spacing w:line="260" w:lineRule="exact"/>
              <w:jc w:val="center"/>
              <w:rPr>
                <w:rFonts w:hint="eastAsia"/>
                <w:sz w:val="18"/>
                <w:szCs w:val="18"/>
                <w:lang w:val="en-US" w:bidi="ar-SA"/>
              </w:rPr>
            </w:pPr>
            <w:r>
              <w:rPr>
                <w:rFonts w:hint="eastAsia"/>
                <w:sz w:val="18"/>
                <w:szCs w:val="18"/>
              </w:rPr>
              <w:t>每增加1台自有设备加分值</w:t>
            </w:r>
          </w:p>
        </w:tc>
        <w:tc>
          <w:tcPr>
            <w:tcW w:w="55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18"/>
                <w:szCs w:val="18"/>
              </w:rPr>
            </w:pPr>
            <w:r>
              <w:rPr>
                <w:rFonts w:hint="eastAsia" w:ascii="宋体" w:hAnsi="宋体" w:cs="宋体"/>
                <w:sz w:val="18"/>
                <w:szCs w:val="18"/>
              </w:rPr>
              <w:t>加分上限</w:t>
            </w:r>
          </w:p>
        </w:tc>
        <w:tc>
          <w:tcPr>
            <w:tcW w:w="741"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kinsoku w:val="0"/>
              <w:overflowPunct w:val="0"/>
              <w:spacing w:line="260" w:lineRule="exact"/>
              <w:jc w:val="center"/>
              <w:rPr>
                <w:rFonts w:hint="eastAsia"/>
                <w:sz w:val="18"/>
                <w:szCs w:val="18"/>
                <w:lang w:val="en-US" w:bidi="ar-SA"/>
              </w:rPr>
            </w:pPr>
            <w:r>
              <w:rPr>
                <w:rFonts w:hint="eastAsia"/>
                <w:sz w:val="18"/>
                <w:szCs w:val="18"/>
                <w:lang w:val="en-US" w:bidi="ar-SA"/>
              </w:rPr>
              <w:t>备注</w:t>
            </w:r>
          </w:p>
        </w:tc>
      </w:tr>
      <w:tr>
        <w:tblPrEx>
          <w:tblCellMar>
            <w:top w:w="0" w:type="dxa"/>
            <w:left w:w="108" w:type="dxa"/>
            <w:bottom w:w="0" w:type="dxa"/>
            <w:right w:w="108" w:type="dxa"/>
          </w:tblCellMar>
        </w:tblPrEx>
        <w:trPr>
          <w:trHeight w:val="560" w:hRule="atLeast"/>
          <w:jc w:val="center"/>
        </w:trPr>
        <w:tc>
          <w:tcPr>
            <w:tcW w:w="201"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440" w:lineRule="exact"/>
              <w:jc w:val="center"/>
              <w:rPr>
                <w:rFonts w:hint="eastAsia" w:ascii="宋体" w:hAnsi="宋体" w:cs="宋体"/>
                <w:sz w:val="18"/>
                <w:szCs w:val="18"/>
              </w:rPr>
            </w:pPr>
          </w:p>
        </w:tc>
        <w:tc>
          <w:tcPr>
            <w:tcW w:w="951" w:type="pct"/>
            <w:vMerge w:val="continue"/>
            <w:tcBorders>
              <w:top w:val="single" w:color="auto"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sz w:val="18"/>
                <w:szCs w:val="18"/>
              </w:rPr>
            </w:pPr>
          </w:p>
        </w:tc>
        <w:tc>
          <w:tcPr>
            <w:tcW w:w="341" w:type="pct"/>
            <w:vMerge w:val="continue"/>
            <w:tcBorders>
              <w:top w:val="single" w:color="auto"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sz w:val="18"/>
                <w:szCs w:val="18"/>
              </w:rPr>
            </w:pPr>
          </w:p>
        </w:tc>
        <w:tc>
          <w:tcPr>
            <w:tcW w:w="1230" w:type="pct"/>
            <w:tcBorders>
              <w:top w:val="single" w:color="auto" w:sz="4" w:space="0"/>
              <w:left w:val="single" w:color="000000" w:sz="4" w:space="0"/>
              <w:bottom w:val="single" w:color="000000" w:sz="4" w:space="0"/>
              <w:right w:val="single" w:color="000000" w:sz="4" w:space="0"/>
            </w:tcBorders>
            <w:noWrap w:val="0"/>
            <w:vAlign w:val="center"/>
          </w:tcPr>
          <w:p>
            <w:pPr>
              <w:spacing w:line="440" w:lineRule="exact"/>
              <w:ind w:firstLine="720" w:firstLineChars="400"/>
              <w:rPr>
                <w:rFonts w:hint="eastAsia"/>
                <w:bCs/>
                <w:sz w:val="18"/>
                <w:szCs w:val="18"/>
              </w:rPr>
            </w:pPr>
            <w:r>
              <w:rPr>
                <w:rFonts w:hint="eastAsia" w:ascii="宋体" w:hAnsi="宋体" w:cs="宋体"/>
                <w:sz w:val="18"/>
                <w:szCs w:val="18"/>
              </w:rPr>
              <w:t>数量</w:t>
            </w:r>
          </w:p>
          <w:p>
            <w:pPr>
              <w:pStyle w:val="15"/>
              <w:spacing w:line="260" w:lineRule="exact"/>
              <w:rPr>
                <w:rFonts w:hint="eastAsia"/>
                <w:sz w:val="18"/>
                <w:szCs w:val="18"/>
                <w:lang w:val="en-US" w:bidi="ar-SA"/>
              </w:rPr>
            </w:pPr>
          </w:p>
        </w:tc>
        <w:tc>
          <w:tcPr>
            <w:tcW w:w="496" w:type="pct"/>
            <w:tcBorders>
              <w:top w:val="single" w:color="auto" w:sz="4" w:space="0"/>
              <w:left w:val="single" w:color="000000" w:sz="4" w:space="0"/>
              <w:bottom w:val="single" w:color="000000" w:sz="4" w:space="0"/>
              <w:right w:val="single" w:color="000000" w:sz="4" w:space="0"/>
            </w:tcBorders>
            <w:noWrap w:val="0"/>
            <w:vAlign w:val="center"/>
          </w:tcPr>
          <w:p>
            <w:pPr>
              <w:pStyle w:val="15"/>
              <w:spacing w:line="260" w:lineRule="exact"/>
              <w:jc w:val="center"/>
              <w:rPr>
                <w:rFonts w:hint="eastAsia"/>
                <w:bCs/>
                <w:sz w:val="18"/>
                <w:szCs w:val="18"/>
                <w:lang w:val="en-US" w:bidi="ar-SA"/>
              </w:rPr>
            </w:pPr>
            <w:r>
              <w:rPr>
                <w:rFonts w:hint="eastAsia"/>
                <w:sz w:val="18"/>
                <w:szCs w:val="18"/>
                <w:lang w:val="en-US" w:bidi="ar-SA"/>
              </w:rPr>
              <w:t>自有设备</w:t>
            </w:r>
          </w:p>
        </w:tc>
        <w:tc>
          <w:tcPr>
            <w:tcW w:w="479" w:type="pct"/>
            <w:vMerge w:val="continue"/>
            <w:tcBorders>
              <w:top w:val="single" w:color="auto" w:sz="4" w:space="0"/>
              <w:left w:val="single" w:color="000000" w:sz="4" w:space="0"/>
              <w:bottom w:val="single" w:color="auto" w:sz="4" w:space="0"/>
              <w:right w:val="single" w:color="000000" w:sz="4" w:space="0"/>
            </w:tcBorders>
            <w:noWrap w:val="0"/>
            <w:vAlign w:val="center"/>
          </w:tcPr>
          <w:p>
            <w:pPr>
              <w:spacing w:line="440" w:lineRule="exact"/>
              <w:rPr>
                <w:rFonts w:hint="eastAsia" w:ascii="宋体" w:hAnsi="宋体" w:cs="宋体"/>
                <w:bCs/>
                <w:sz w:val="18"/>
                <w:szCs w:val="18"/>
              </w:rPr>
            </w:pPr>
          </w:p>
        </w:tc>
        <w:tc>
          <w:tcPr>
            <w:tcW w:w="558" w:type="pct"/>
            <w:vMerge w:val="continue"/>
            <w:tcBorders>
              <w:top w:val="single" w:color="auto" w:sz="4" w:space="0"/>
              <w:left w:val="single" w:color="000000" w:sz="4" w:space="0"/>
              <w:bottom w:val="single" w:color="auto" w:sz="4" w:space="0"/>
              <w:right w:val="single" w:color="000000" w:sz="4" w:space="0"/>
            </w:tcBorders>
            <w:noWrap w:val="0"/>
            <w:vAlign w:val="top"/>
          </w:tcPr>
          <w:p>
            <w:pPr>
              <w:spacing w:line="440" w:lineRule="exact"/>
              <w:jc w:val="center"/>
              <w:rPr>
                <w:rFonts w:hint="eastAsia" w:ascii="宋体" w:hAnsi="宋体" w:cs="宋体"/>
                <w:bCs/>
                <w:sz w:val="18"/>
                <w:szCs w:val="18"/>
              </w:rPr>
            </w:pPr>
          </w:p>
        </w:tc>
        <w:tc>
          <w:tcPr>
            <w:tcW w:w="741" w:type="pct"/>
            <w:vMerge w:val="continue"/>
            <w:tcBorders>
              <w:top w:val="single" w:color="auto" w:sz="4" w:space="0"/>
              <w:left w:val="single" w:color="000000" w:sz="4" w:space="0"/>
              <w:bottom w:val="single" w:color="auto" w:sz="4" w:space="0"/>
              <w:right w:val="single" w:color="auto" w:sz="4" w:space="0"/>
            </w:tcBorders>
            <w:noWrap w:val="0"/>
            <w:vAlign w:val="center"/>
          </w:tcPr>
          <w:p>
            <w:pPr>
              <w:spacing w:line="440" w:lineRule="exact"/>
              <w:jc w:val="center"/>
              <w:rPr>
                <w:rFonts w:hint="eastAsia" w:ascii="宋体" w:hAnsi="宋体" w:cs="宋体"/>
                <w:bCs/>
                <w:sz w:val="18"/>
                <w:szCs w:val="18"/>
              </w:rPr>
            </w:pPr>
          </w:p>
        </w:tc>
      </w:tr>
      <w:tr>
        <w:tblPrEx>
          <w:tblCellMar>
            <w:top w:w="0" w:type="dxa"/>
            <w:left w:w="108" w:type="dxa"/>
            <w:bottom w:w="0" w:type="dxa"/>
            <w:right w:w="108" w:type="dxa"/>
          </w:tblCellMar>
        </w:tblPrEx>
        <w:trPr>
          <w:trHeight w:val="525"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汽车泵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FF0000"/>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FF0000"/>
                <w:kern w:val="0"/>
                <w:sz w:val="18"/>
                <w:szCs w:val="18"/>
                <w:lang w:bidi="ar"/>
              </w:rPr>
            </w:pPr>
          </w:p>
        </w:tc>
        <w:tc>
          <w:tcPr>
            <w:tcW w:w="741" w:type="pct"/>
            <w:vMerge w:val="restart"/>
            <w:tcBorders>
              <w:top w:val="single" w:color="auto" w:sz="4" w:space="0"/>
              <w:left w:val="single" w:color="auto" w:sz="4" w:space="0"/>
              <w:right w:val="single" w:color="auto" w:sz="4" w:space="0"/>
            </w:tcBorders>
            <w:noWrap w:val="0"/>
            <w:vAlign w:val="center"/>
          </w:tcPr>
          <w:p>
            <w:pPr>
              <w:ind w:firstLine="220"/>
              <w:rPr>
                <w:rFonts w:ascii="宋体" w:hAnsi="宋体" w:cs="宋体"/>
                <w:kern w:val="0"/>
                <w:sz w:val="18"/>
                <w:szCs w:val="18"/>
                <w:lang w:bidi="ar"/>
              </w:rPr>
            </w:pPr>
          </w:p>
        </w:tc>
      </w:tr>
      <w:tr>
        <w:tblPrEx>
          <w:tblCellMar>
            <w:top w:w="0" w:type="dxa"/>
            <w:left w:w="108" w:type="dxa"/>
            <w:bottom w:w="0" w:type="dxa"/>
            <w:right w:w="108" w:type="dxa"/>
          </w:tblCellMar>
        </w:tblPrEx>
        <w:trPr>
          <w:trHeight w:val="640"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潜孔钻（配空压机）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kern w:val="0"/>
                <w:sz w:val="18"/>
                <w:szCs w:val="18"/>
                <w:lang w:bidi="ar"/>
              </w:rPr>
            </w:pPr>
          </w:p>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p>
            <w:pPr>
              <w:widowControl/>
              <w:jc w:val="center"/>
              <w:textAlignment w:val="center"/>
              <w:rPr>
                <w:rFonts w:ascii="宋体" w:hAnsi="宋体" w:cs="宋体"/>
                <w:kern w:val="0"/>
                <w:sz w:val="18"/>
                <w:szCs w:val="18"/>
                <w:lang w:bidi="ar"/>
              </w:rPr>
            </w:pP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390"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压浆机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39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装载机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42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pPr>
            <w:r>
              <w:rPr>
                <w:rFonts w:hint="eastAsia"/>
              </w:rPr>
              <w:t>发电机组300kw</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39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吊车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39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雾炮机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台</w:t>
            </w: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p>
        </w:tc>
      </w:tr>
      <w:tr>
        <w:tblPrEx>
          <w:tblCellMar>
            <w:top w:w="0" w:type="dxa"/>
            <w:left w:w="108" w:type="dxa"/>
            <w:bottom w:w="0" w:type="dxa"/>
            <w:right w:w="108" w:type="dxa"/>
          </w:tblCellMar>
        </w:tblPrEx>
        <w:trPr>
          <w:trHeight w:val="39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8</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脚手架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kern w:val="0"/>
                <w:sz w:val="18"/>
                <w:szCs w:val="18"/>
                <w:lang w:bidi="ar"/>
              </w:rPr>
            </w:pP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r>
              <w:rPr>
                <w:rFonts w:hint="eastAsia" w:ascii="宋体" w:hAnsi="宋体" w:cs="宋体"/>
                <w:bCs/>
                <w:sz w:val="18"/>
                <w:szCs w:val="18"/>
              </w:rPr>
              <w:t>若干</w:t>
            </w:r>
          </w:p>
        </w:tc>
      </w:tr>
      <w:tr>
        <w:tblPrEx>
          <w:tblCellMar>
            <w:top w:w="0" w:type="dxa"/>
            <w:left w:w="108" w:type="dxa"/>
            <w:bottom w:w="0" w:type="dxa"/>
            <w:right w:w="108" w:type="dxa"/>
          </w:tblCellMar>
        </w:tblPrEx>
        <w:trPr>
          <w:trHeight w:val="397" w:hRule="atLeast"/>
          <w:jc w:val="center"/>
        </w:trPr>
        <w:tc>
          <w:tcPr>
            <w:tcW w:w="2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9</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其他小型机具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1230" w:type="pc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kern w:val="0"/>
                <w:sz w:val="18"/>
                <w:szCs w:val="18"/>
                <w:lang w:bidi="ar"/>
              </w:rPr>
            </w:pPr>
          </w:p>
          <w:p>
            <w:pPr>
              <w:widowControl/>
              <w:textAlignment w:val="center"/>
              <w:rPr>
                <w:rFonts w:ascii="宋体" w:hAnsi="宋体" w:cs="宋体"/>
                <w:kern w:val="0"/>
                <w:sz w:val="18"/>
                <w:szCs w:val="18"/>
                <w:lang w:bidi="ar"/>
              </w:rPr>
            </w:pPr>
          </w:p>
        </w:tc>
        <w:tc>
          <w:tcPr>
            <w:tcW w:w="496"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kern w:val="0"/>
                <w:sz w:val="18"/>
                <w:szCs w:val="18"/>
                <w:lang w:bidi="ar"/>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5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18"/>
                <w:szCs w:val="18"/>
                <w:lang w:bidi="ar"/>
              </w:rPr>
            </w:pPr>
          </w:p>
        </w:tc>
        <w:tc>
          <w:tcPr>
            <w:tcW w:w="7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18"/>
                <w:szCs w:val="18"/>
              </w:rPr>
            </w:pPr>
            <w:r>
              <w:rPr>
                <w:rFonts w:hint="eastAsia" w:ascii="宋体" w:hAnsi="宋体" w:cs="宋体"/>
                <w:bCs/>
                <w:sz w:val="18"/>
                <w:szCs w:val="18"/>
              </w:rPr>
              <w:t>根据需要自备</w:t>
            </w:r>
          </w:p>
        </w:tc>
      </w:tr>
    </w:tbl>
    <w:p>
      <w:pPr>
        <w:widowControl/>
        <w:jc w:val="left"/>
        <w:textAlignment w:val="center"/>
        <w:rPr>
          <w:rFonts w:hint="eastAsia" w:ascii="宋体" w:hAnsi="宋体" w:cs="宋体"/>
        </w:rPr>
      </w:pPr>
    </w:p>
    <w:p>
      <w:pPr>
        <w:widowControl/>
        <w:jc w:val="left"/>
        <w:textAlignment w:val="center"/>
        <w:rPr>
          <w:rFonts w:hint="eastAsia" w:ascii="宋体" w:hAnsi="宋体" w:cs="宋体"/>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ind w:firstLine="180" w:firstLineChars="100"/>
        <w:rPr>
          <w:rFonts w:hint="eastAsia" w:ascii="宋体" w:hAnsi="宋体" w:cs="宋体"/>
          <w:sz w:val="18"/>
          <w:szCs w:val="18"/>
        </w:rPr>
      </w:pPr>
      <w:r>
        <w:rPr>
          <w:rFonts w:hint="eastAsia" w:ascii="宋体" w:hAnsi="宋体" w:cs="宋体"/>
          <w:sz w:val="18"/>
          <w:szCs w:val="18"/>
        </w:rPr>
        <w:t>3、所有设备购买年限均应在5年以内（发票时间2017年1月1日至今）。</w:t>
      </w:r>
    </w:p>
    <w:p>
      <w:pPr>
        <w:pStyle w:val="2"/>
        <w:ind w:firstLine="181" w:firstLineChars="100"/>
        <w:rPr>
          <w:rFonts w:hint="eastAsia" w:eastAsia="宋体"/>
          <w:lang w:val="en-US" w:eastAsia="zh-CN"/>
        </w:rPr>
        <w:sectPr>
          <w:footerReference r:id="rId4" w:type="default"/>
          <w:pgSz w:w="11911" w:h="16838"/>
          <w:pgMar w:top="1599" w:right="1179" w:bottom="1298" w:left="1100" w:header="0" w:footer="567" w:gutter="0"/>
          <w:cols w:space="720" w:num="1"/>
          <w:docGrid w:linePitch="1" w:charSpace="0"/>
        </w:sectPr>
      </w:pPr>
      <w:r>
        <w:rPr>
          <w:rFonts w:hint="eastAsia" w:ascii="宋体" w:hAnsi="宋体" w:eastAsia="宋体" w:cs="宋体"/>
          <w:b/>
          <w:bCs/>
          <w:sz w:val="18"/>
          <w:szCs w:val="18"/>
        </w:rPr>
        <w:t>4、</w:t>
      </w:r>
      <w:r>
        <w:rPr>
          <w:rFonts w:hint="eastAsia" w:ascii="宋体" w:hAnsi="宋体" w:eastAsia="宋体" w:cs="宋体"/>
          <w:b/>
          <w:bCs/>
          <w:sz w:val="18"/>
          <w:szCs w:val="18"/>
          <w:lang w:bidi="ar"/>
        </w:rPr>
        <w:t>自有设备需提供购买发票,投标人需保证发票真实有效，若投标人提供的发票网上查验为虚假发票，作废标处</w:t>
      </w:r>
      <w:r>
        <w:rPr>
          <w:rFonts w:hint="eastAsia" w:ascii="宋体" w:hAnsi="宋体" w:eastAsia="宋体" w:cs="宋体"/>
          <w:b/>
          <w:bCs/>
          <w:sz w:val="18"/>
          <w:szCs w:val="18"/>
          <w:lang w:val="en-US" w:eastAsia="zh-CN" w:bidi="ar"/>
        </w:rPr>
        <w:t>理。</w:t>
      </w:r>
    </w:p>
    <w:p>
      <w:pPr>
        <w:rPr>
          <w:rFonts w:hint="eastAsia" w:ascii="宋体" w:hAnsi="宋体" w:eastAsia="宋体" w:cs="宋体"/>
          <w:szCs w:val="21"/>
        </w:rPr>
      </w:pPr>
    </w:p>
    <w:p>
      <w:pPr>
        <w:pStyle w:val="2"/>
        <w:rPr>
          <w:rFonts w:hint="eastAsia"/>
        </w:rPr>
      </w:pPr>
    </w:p>
    <w:p>
      <w:pPr>
        <w:pStyle w:val="2"/>
        <w:ind w:left="0" w:leftChars="0" w:firstLine="0" w:firstLineChars="0"/>
        <w:rPr>
          <w:rFonts w:hint="eastAsia"/>
        </w:rPr>
      </w:pPr>
    </w:p>
    <w:p>
      <w:pPr>
        <w:pStyle w:val="2"/>
        <w:rPr>
          <w:rFonts w:hint="eastAsia"/>
        </w:rPr>
      </w:pPr>
    </w:p>
    <w:p>
      <w:pPr>
        <w:pStyle w:val="13"/>
        <w:numPr>
          <w:ilvl w:val="0"/>
          <w:numId w:val="1"/>
        </w:numPr>
        <w:tabs>
          <w:tab w:val="right" w:leader="dot" w:pos="8306"/>
        </w:tabs>
        <w:jc w:val="center"/>
        <w:outlineLvl w:val="0"/>
        <w:rPr>
          <w:rFonts w:hint="eastAsia" w:ascii="宋体" w:hAnsi="宋体" w:cs="宋体"/>
          <w:b/>
          <w:bCs/>
          <w:sz w:val="48"/>
          <w:szCs w:val="48"/>
          <w:lang w:bidi="zh-CN"/>
        </w:rPr>
      </w:pPr>
      <w:bookmarkStart w:id="0" w:name="_Toc17043"/>
      <w:r>
        <w:rPr>
          <w:rFonts w:hint="eastAsia" w:ascii="宋体" w:hAnsi="宋体" w:cs="宋体"/>
          <w:b/>
          <w:bCs/>
          <w:sz w:val="48"/>
          <w:szCs w:val="48"/>
          <w:lang w:bidi="zh-CN"/>
        </w:rPr>
        <w:t>投标人须知</w:t>
      </w:r>
      <w:bookmarkEnd w:id="0"/>
    </w:p>
    <w:p>
      <w:pPr>
        <w:pStyle w:val="6"/>
        <w:rPr>
          <w:rFonts w:hint="eastAsia" w:ascii="宋体" w:hAnsi="宋体" w:cs="宋体"/>
          <w:b/>
          <w:sz w:val="48"/>
        </w:rPr>
      </w:pPr>
    </w:p>
    <w:p>
      <w:pPr>
        <w:pStyle w:val="5"/>
        <w:spacing w:before="388" w:line="364" w:lineRule="auto"/>
        <w:ind w:right="3884"/>
        <w:jc w:val="left"/>
        <w:rPr>
          <w:rFonts w:hint="eastAsia" w:ascii="宋体" w:hAnsi="宋体" w:eastAsia="宋体" w:cs="宋体"/>
        </w:rPr>
      </w:pPr>
      <w:r>
        <w:rPr>
          <w:rFonts w:hint="eastAsia" w:ascii="宋体" w:hAnsi="宋体" w:eastAsia="宋体" w:cs="宋体"/>
        </w:rPr>
        <w:t>一、投标人须知前附表</w:t>
      </w:r>
    </w:p>
    <w:p>
      <w:pPr>
        <w:pStyle w:val="5"/>
        <w:spacing w:before="388" w:line="364" w:lineRule="auto"/>
        <w:ind w:right="3884"/>
        <w:jc w:val="left"/>
        <w:rPr>
          <w:rFonts w:hint="eastAsia" w:ascii="宋体" w:hAnsi="宋体" w:eastAsia="宋体" w:cs="宋体"/>
        </w:rPr>
      </w:pPr>
      <w:r>
        <w:rPr>
          <w:rFonts w:hint="eastAsia" w:ascii="宋体" w:hAnsi="宋体" w:eastAsia="宋体" w:cs="宋体"/>
        </w:rPr>
        <w:t>二、投标人须知</w:t>
      </w:r>
    </w:p>
    <w:p>
      <w:pPr>
        <w:pStyle w:val="2"/>
        <w:rPr>
          <w:rFonts w:hint="eastAsia" w:ascii="宋体" w:hAnsi="宋体" w:eastAsia="宋体" w:cs="宋体"/>
          <w:b/>
          <w:sz w:val="32"/>
          <w:szCs w:val="32"/>
        </w:rPr>
        <w:sectPr>
          <w:footerReference r:id="rId5" w:type="default"/>
          <w:pgSz w:w="11911" w:h="16838"/>
          <w:pgMar w:top="1599" w:right="1179" w:bottom="1298" w:left="1100" w:header="0" w:footer="567" w:gutter="0"/>
          <w:cols w:space="720" w:num="1"/>
          <w:docGrid w:linePitch="1" w:charSpace="0"/>
        </w:sectPr>
      </w:pPr>
    </w:p>
    <w:p>
      <w:pPr>
        <w:numPr>
          <w:ilvl w:val="0"/>
          <w:numId w:val="2"/>
        </w:numPr>
        <w:spacing w:before="42"/>
        <w:ind w:left="372" w:right="369"/>
        <w:jc w:val="center"/>
        <w:rPr>
          <w:rFonts w:hint="eastAsia" w:ascii="宋体" w:hAnsi="宋体" w:cs="宋体"/>
          <w:b/>
          <w:bCs/>
          <w:sz w:val="32"/>
          <w:szCs w:val="32"/>
          <w:lang w:val="zh-CN" w:bidi="zh-CN"/>
        </w:rPr>
      </w:pPr>
      <w:r>
        <w:rPr>
          <w:rFonts w:hint="eastAsia" w:ascii="宋体" w:hAnsi="宋体" w:cs="宋体"/>
          <w:b/>
          <w:bCs/>
          <w:sz w:val="32"/>
          <w:szCs w:val="32"/>
          <w:lang w:val="zh-CN" w:bidi="zh-CN"/>
        </w:rPr>
        <w:t>投标人须知前附表</w:t>
      </w:r>
    </w:p>
    <w:p>
      <w:pPr>
        <w:pStyle w:val="2"/>
        <w:ind w:firstLine="0"/>
        <w:rPr>
          <w:rFonts w:hint="eastAsia" w:ascii="宋体" w:hAnsi="宋体" w:eastAsia="宋体" w:cs="宋体"/>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726"/>
        <w:gridCol w:w="6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59" w:type="dxa"/>
            <w:noWrap w:val="0"/>
            <w:vAlign w:val="center"/>
          </w:tcPr>
          <w:p>
            <w:pPr>
              <w:pStyle w:val="15"/>
              <w:spacing w:before="144"/>
              <w:ind w:right="152"/>
              <w:jc w:val="right"/>
              <w:rPr>
                <w:rFonts w:hint="eastAsia"/>
                <w:b/>
              </w:rPr>
            </w:pPr>
            <w:r>
              <w:rPr>
                <w:rFonts w:hint="eastAsia"/>
                <w:b/>
              </w:rPr>
              <w:t>条款号</w:t>
            </w:r>
          </w:p>
        </w:tc>
        <w:tc>
          <w:tcPr>
            <w:tcW w:w="1726" w:type="dxa"/>
            <w:noWrap w:val="0"/>
            <w:vAlign w:val="center"/>
          </w:tcPr>
          <w:p>
            <w:pPr>
              <w:pStyle w:val="15"/>
              <w:spacing w:before="144"/>
              <w:ind w:left="109" w:right="99"/>
              <w:jc w:val="center"/>
              <w:rPr>
                <w:rFonts w:hint="eastAsia"/>
                <w:b/>
              </w:rPr>
            </w:pPr>
            <w:r>
              <w:rPr>
                <w:rFonts w:hint="eastAsia"/>
                <w:b/>
              </w:rPr>
              <w:t>条款名称</w:t>
            </w:r>
          </w:p>
        </w:tc>
        <w:tc>
          <w:tcPr>
            <w:tcW w:w="6606" w:type="dxa"/>
            <w:noWrap w:val="0"/>
            <w:vAlign w:val="center"/>
          </w:tcPr>
          <w:p>
            <w:pPr>
              <w:pStyle w:val="15"/>
              <w:spacing w:before="144"/>
              <w:ind w:left="2748" w:right="2736"/>
              <w:jc w:val="center"/>
              <w:rPr>
                <w:rFonts w:hint="eastAsia"/>
                <w:b/>
              </w:rPr>
            </w:pPr>
            <w:r>
              <w:rPr>
                <w:rFonts w:hint="eastAsia"/>
                <w:b/>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jc w:val="center"/>
        </w:trPr>
        <w:tc>
          <w:tcPr>
            <w:tcW w:w="959" w:type="dxa"/>
            <w:noWrap w:val="0"/>
            <w:vAlign w:val="center"/>
          </w:tcPr>
          <w:p>
            <w:pPr>
              <w:pStyle w:val="15"/>
              <w:spacing w:before="1"/>
              <w:ind w:right="206"/>
              <w:jc w:val="center"/>
              <w:rPr>
                <w:rFonts w:hint="eastAsia"/>
                <w:szCs w:val="21"/>
              </w:rPr>
            </w:pPr>
            <w:r>
              <w:rPr>
                <w:rFonts w:hint="eastAsia"/>
                <w:szCs w:val="21"/>
                <w:lang w:val="en-US"/>
              </w:rPr>
              <w:t xml:space="preserve">  </w:t>
            </w:r>
            <w:r>
              <w:rPr>
                <w:rFonts w:hint="eastAsia"/>
                <w:szCs w:val="21"/>
              </w:rPr>
              <w:t>1.1.2</w:t>
            </w:r>
          </w:p>
        </w:tc>
        <w:tc>
          <w:tcPr>
            <w:tcW w:w="1726" w:type="dxa"/>
            <w:noWrap w:val="0"/>
            <w:vAlign w:val="center"/>
          </w:tcPr>
          <w:p>
            <w:pPr>
              <w:adjustRightInd w:val="0"/>
              <w:snapToGrid w:val="0"/>
              <w:spacing w:line="360" w:lineRule="auto"/>
              <w:jc w:val="center"/>
              <w:rPr>
                <w:rFonts w:hint="eastAsia" w:ascii="宋体" w:hAnsi="宋体" w:cs="宋体"/>
              </w:rPr>
            </w:pPr>
            <w:r>
              <w:rPr>
                <w:rFonts w:hint="eastAsia" w:ascii="宋体" w:hAnsi="宋体" w:cs="宋体"/>
              </w:rPr>
              <w:t>招标人</w:t>
            </w:r>
          </w:p>
        </w:tc>
        <w:tc>
          <w:tcPr>
            <w:tcW w:w="6606" w:type="dxa"/>
            <w:noWrap w:val="0"/>
            <w:vAlign w:val="center"/>
          </w:tcPr>
          <w:p>
            <w:pPr>
              <w:adjustRightInd w:val="0"/>
              <w:snapToGrid w:val="0"/>
              <w:spacing w:line="360" w:lineRule="auto"/>
              <w:rPr>
                <w:rFonts w:hint="eastAsia" w:ascii="宋体" w:hAnsi="宋体" w:cs="宋体"/>
                <w:szCs w:val="21"/>
              </w:rPr>
            </w:pPr>
            <w:r>
              <w:rPr>
                <w:rFonts w:hint="eastAsia" w:ascii="宋体" w:hAnsi="宋体" w:cs="宋体"/>
              </w:rPr>
              <w:t>招标人：</w:t>
            </w:r>
            <w:r>
              <w:rPr>
                <w:rFonts w:hint="eastAsia" w:ascii="宋体" w:hAnsi="宋体" w:cs="宋体"/>
                <w:szCs w:val="21"/>
              </w:rPr>
              <w:t>四川省交通建设集团股份有限公司</w:t>
            </w:r>
          </w:p>
          <w:p>
            <w:pPr>
              <w:adjustRightInd w:val="0"/>
              <w:snapToGrid w:val="0"/>
              <w:spacing w:line="360" w:lineRule="auto"/>
              <w:rPr>
                <w:rFonts w:hint="eastAsia" w:ascii="宋体" w:hAnsi="宋体" w:cs="宋体"/>
              </w:rPr>
            </w:pPr>
            <w:r>
              <w:rPr>
                <w:rFonts w:hint="eastAsia" w:ascii="宋体" w:hAnsi="宋体" w:cs="宋体"/>
              </w:rPr>
              <w:t>地  址：</w:t>
            </w:r>
            <w:r>
              <w:rPr>
                <w:rFonts w:hint="eastAsia" w:ascii="宋体" w:hAnsi="宋体" w:cs="宋体"/>
                <w:szCs w:val="21"/>
              </w:rPr>
              <w:t>成都市武侯区二环路西一段80号金科双楠天都2栋13楼。</w:t>
            </w:r>
          </w:p>
          <w:p>
            <w:pPr>
              <w:snapToGrid w:val="0"/>
              <w:spacing w:line="360" w:lineRule="auto"/>
              <w:rPr>
                <w:rFonts w:hint="eastAsia" w:ascii="宋体" w:hAnsi="宋体" w:cs="宋体"/>
              </w:rPr>
            </w:pPr>
            <w:r>
              <w:rPr>
                <w:rFonts w:hint="eastAsia" w:ascii="宋体" w:hAnsi="宋体" w:cs="宋体"/>
              </w:rPr>
              <w:t>联系人：潘女士、吴女士</w:t>
            </w:r>
            <w:r>
              <w:rPr>
                <w:rFonts w:hint="eastAsia" w:ascii="宋体" w:hAnsi="宋体" w:cs="宋体"/>
                <w:szCs w:val="21"/>
              </w:rPr>
              <w:t xml:space="preserve">       </w:t>
            </w:r>
          </w:p>
          <w:p>
            <w:pPr>
              <w:adjustRightInd w:val="0"/>
              <w:snapToGrid w:val="0"/>
              <w:spacing w:line="360" w:lineRule="auto"/>
              <w:rPr>
                <w:rFonts w:ascii="宋体" w:hAnsi="宋体" w:cs="宋体"/>
              </w:rPr>
            </w:pPr>
            <w:r>
              <w:rPr>
                <w:rFonts w:hint="eastAsia" w:ascii="宋体" w:hAnsi="宋体" w:cs="宋体"/>
                <w:szCs w:val="21"/>
              </w:rPr>
              <w:t>电  话：13739490715、15882401339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959" w:type="dxa"/>
            <w:noWrap w:val="0"/>
            <w:vAlign w:val="center"/>
          </w:tcPr>
          <w:p>
            <w:pPr>
              <w:pStyle w:val="15"/>
              <w:ind w:right="206"/>
              <w:jc w:val="right"/>
              <w:rPr>
                <w:rFonts w:hint="eastAsia"/>
                <w:szCs w:val="21"/>
              </w:rPr>
            </w:pPr>
            <w:r>
              <w:rPr>
                <w:rFonts w:hint="eastAsia"/>
                <w:szCs w:val="21"/>
              </w:rPr>
              <w:t>1.1.4</w:t>
            </w:r>
          </w:p>
        </w:tc>
        <w:tc>
          <w:tcPr>
            <w:tcW w:w="1726" w:type="dxa"/>
            <w:noWrap w:val="0"/>
            <w:vAlign w:val="center"/>
          </w:tcPr>
          <w:p>
            <w:pPr>
              <w:pStyle w:val="15"/>
              <w:ind w:left="104" w:right="99"/>
              <w:jc w:val="center"/>
              <w:rPr>
                <w:rFonts w:hint="eastAsia"/>
                <w:lang w:val="en-US" w:bidi="ar-SA"/>
              </w:rPr>
            </w:pPr>
            <w:r>
              <w:rPr>
                <w:rFonts w:hint="eastAsia"/>
                <w:lang w:val="en-US" w:bidi="ar-SA"/>
              </w:rPr>
              <w:t>项目名称</w:t>
            </w:r>
          </w:p>
        </w:tc>
        <w:tc>
          <w:tcPr>
            <w:tcW w:w="6606" w:type="dxa"/>
            <w:noWrap w:val="0"/>
            <w:vAlign w:val="center"/>
          </w:tcPr>
          <w:p>
            <w:pPr>
              <w:tabs>
                <w:tab w:val="left" w:pos="3480"/>
                <w:tab w:val="left" w:pos="4520"/>
                <w:tab w:val="left" w:pos="5560"/>
              </w:tabs>
              <w:autoSpaceDE w:val="0"/>
              <w:autoSpaceDN w:val="0"/>
              <w:adjustRightInd w:val="0"/>
              <w:spacing w:line="360" w:lineRule="auto"/>
              <w:rPr>
                <w:rFonts w:hint="default" w:ascii="宋体" w:hAnsi="宋体" w:cs="宋体"/>
                <w:lang w:val="en-US"/>
              </w:rPr>
            </w:pPr>
            <w:r>
              <w:rPr>
                <w:rFonts w:hint="eastAsia" w:ascii="宋体" w:hAnsi="宋体" w:cs="宋体"/>
                <w:szCs w:val="21"/>
                <w:lang w:bidi="zh-CN"/>
              </w:rPr>
              <w:t>南充至成都高速公路扩容工程LJ4-1标上边坡防护(锚杆边坡加固)</w:t>
            </w:r>
            <w:r>
              <w:rPr>
                <w:rFonts w:hint="eastAsia" w:ascii="宋体" w:hAnsi="宋体" w:cs="宋体"/>
                <w:szCs w:val="21"/>
                <w:lang w:val="en-US" w:bidi="zh-CN"/>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59" w:type="dxa"/>
            <w:noWrap w:val="0"/>
            <w:vAlign w:val="center"/>
          </w:tcPr>
          <w:p>
            <w:pPr>
              <w:pStyle w:val="15"/>
              <w:spacing w:before="180"/>
              <w:ind w:right="206"/>
              <w:jc w:val="right"/>
              <w:rPr>
                <w:rFonts w:hint="eastAsia"/>
                <w:szCs w:val="21"/>
              </w:rPr>
            </w:pPr>
            <w:r>
              <w:rPr>
                <w:rFonts w:hint="eastAsia"/>
                <w:szCs w:val="21"/>
              </w:rPr>
              <w:t>1.1.5</w:t>
            </w:r>
          </w:p>
        </w:tc>
        <w:tc>
          <w:tcPr>
            <w:tcW w:w="1726" w:type="dxa"/>
            <w:noWrap w:val="0"/>
            <w:vAlign w:val="center"/>
          </w:tcPr>
          <w:p>
            <w:pPr>
              <w:pStyle w:val="15"/>
              <w:ind w:left="104" w:right="99"/>
              <w:jc w:val="center"/>
              <w:rPr>
                <w:rFonts w:hint="eastAsia"/>
                <w:szCs w:val="21"/>
              </w:rPr>
            </w:pPr>
            <w:r>
              <w:rPr>
                <w:rFonts w:hint="eastAsia"/>
                <w:szCs w:val="21"/>
              </w:rPr>
              <w:t>建设地点</w:t>
            </w:r>
          </w:p>
        </w:tc>
        <w:tc>
          <w:tcPr>
            <w:tcW w:w="6606" w:type="dxa"/>
            <w:noWrap w:val="0"/>
            <w:vAlign w:val="center"/>
          </w:tcPr>
          <w:p>
            <w:pPr>
              <w:pStyle w:val="2"/>
              <w:ind w:firstLine="0"/>
              <w:rPr>
                <w:rFonts w:ascii="宋体" w:hAnsi="宋体" w:eastAsia="宋体" w:cs="宋体"/>
                <w:kern w:val="2"/>
                <w:sz w:val="21"/>
                <w:szCs w:val="21"/>
                <w:lang w:bidi="zh-CN"/>
              </w:rPr>
            </w:pPr>
            <w:r>
              <w:rPr>
                <w:rFonts w:hint="eastAsia" w:ascii="宋体" w:hAnsi="宋体" w:eastAsia="宋体" w:cs="宋体"/>
                <w:kern w:val="2"/>
                <w:sz w:val="21"/>
                <w:szCs w:val="21"/>
                <w:lang w:bidi="zh-CN"/>
              </w:rPr>
              <w:t>南充市高坪区、嘉陵区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59" w:type="dxa"/>
            <w:noWrap w:val="0"/>
            <w:vAlign w:val="center"/>
          </w:tcPr>
          <w:p>
            <w:pPr>
              <w:pStyle w:val="15"/>
              <w:spacing w:before="1"/>
              <w:ind w:right="206"/>
              <w:jc w:val="right"/>
              <w:rPr>
                <w:rFonts w:hint="eastAsia"/>
                <w:szCs w:val="21"/>
              </w:rPr>
            </w:pPr>
            <w:r>
              <w:rPr>
                <w:rFonts w:hint="eastAsia"/>
                <w:szCs w:val="21"/>
              </w:rPr>
              <w:t>1.2.2</w:t>
            </w:r>
          </w:p>
        </w:tc>
        <w:tc>
          <w:tcPr>
            <w:tcW w:w="1726" w:type="dxa"/>
            <w:noWrap w:val="0"/>
            <w:vAlign w:val="center"/>
          </w:tcPr>
          <w:p>
            <w:pPr>
              <w:pStyle w:val="15"/>
              <w:spacing w:before="1"/>
              <w:ind w:left="107" w:right="99"/>
              <w:jc w:val="center"/>
              <w:rPr>
                <w:rFonts w:hint="eastAsia"/>
                <w:szCs w:val="21"/>
              </w:rPr>
            </w:pPr>
            <w:r>
              <w:rPr>
                <w:rFonts w:hint="eastAsia"/>
                <w:szCs w:val="21"/>
              </w:rPr>
              <w:t>资金落实情况</w:t>
            </w:r>
          </w:p>
        </w:tc>
        <w:tc>
          <w:tcPr>
            <w:tcW w:w="6606" w:type="dxa"/>
            <w:noWrap w:val="0"/>
            <w:vAlign w:val="center"/>
          </w:tcPr>
          <w:p>
            <w:pPr>
              <w:pStyle w:val="2"/>
              <w:ind w:firstLine="0"/>
              <w:rPr>
                <w:rFonts w:hint="eastAsia" w:ascii="宋体" w:hAnsi="宋体" w:eastAsia="宋体" w:cs="宋体"/>
                <w:kern w:val="2"/>
                <w:sz w:val="21"/>
                <w:szCs w:val="21"/>
                <w:lang w:val="zh-CN" w:bidi="zh-CN"/>
              </w:rPr>
            </w:pPr>
            <w:r>
              <w:rPr>
                <w:rFonts w:hint="eastAsia" w:ascii="宋体" w:hAnsi="宋体" w:eastAsia="宋体" w:cs="宋体"/>
                <w:kern w:val="2"/>
                <w:sz w:val="21"/>
                <w:szCs w:val="21"/>
                <w:lang w:val="zh-CN" w:bidi="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959" w:type="dxa"/>
            <w:noWrap w:val="0"/>
            <w:vAlign w:val="center"/>
          </w:tcPr>
          <w:p>
            <w:pPr>
              <w:pStyle w:val="15"/>
              <w:spacing w:before="179"/>
              <w:ind w:right="206"/>
              <w:jc w:val="right"/>
              <w:rPr>
                <w:rFonts w:hint="eastAsia"/>
                <w:szCs w:val="21"/>
              </w:rPr>
            </w:pPr>
            <w:r>
              <w:rPr>
                <w:rFonts w:hint="eastAsia"/>
                <w:szCs w:val="21"/>
              </w:rPr>
              <w:t>1.3.1</w:t>
            </w:r>
          </w:p>
        </w:tc>
        <w:tc>
          <w:tcPr>
            <w:tcW w:w="1726" w:type="dxa"/>
            <w:noWrap w:val="0"/>
            <w:vAlign w:val="center"/>
          </w:tcPr>
          <w:p>
            <w:pPr>
              <w:pStyle w:val="15"/>
              <w:ind w:left="104" w:right="99"/>
              <w:jc w:val="center"/>
              <w:rPr>
                <w:rFonts w:hint="eastAsia"/>
                <w:szCs w:val="21"/>
              </w:rPr>
            </w:pPr>
            <w:r>
              <w:rPr>
                <w:rFonts w:hint="eastAsia"/>
                <w:szCs w:val="21"/>
              </w:rPr>
              <w:t>招标范围</w:t>
            </w:r>
          </w:p>
        </w:tc>
        <w:tc>
          <w:tcPr>
            <w:tcW w:w="6606" w:type="dxa"/>
            <w:noWrap w:val="0"/>
            <w:vAlign w:val="center"/>
          </w:tcPr>
          <w:p>
            <w:pPr>
              <w:pStyle w:val="2"/>
              <w:ind w:firstLine="0"/>
              <w:rPr>
                <w:rFonts w:hint="eastAsia" w:ascii="宋体" w:hAnsi="宋体" w:eastAsia="宋体" w:cs="宋体"/>
                <w:kern w:val="2"/>
                <w:sz w:val="21"/>
                <w:szCs w:val="21"/>
                <w:lang w:val="zh-CN" w:bidi="zh-CN"/>
              </w:rPr>
            </w:pPr>
            <w:r>
              <w:rPr>
                <w:rFonts w:hint="eastAsia" w:ascii="宋体" w:hAnsi="宋体" w:eastAsia="宋体" w:cs="宋体"/>
                <w:kern w:val="2"/>
                <w:sz w:val="21"/>
                <w:szCs w:val="21"/>
                <w:lang w:val="zh-CN" w:bidi="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959" w:type="dxa"/>
            <w:noWrap w:val="0"/>
            <w:vAlign w:val="center"/>
          </w:tcPr>
          <w:p>
            <w:pPr>
              <w:pStyle w:val="15"/>
              <w:ind w:right="206"/>
              <w:jc w:val="right"/>
              <w:rPr>
                <w:rFonts w:hint="eastAsia"/>
                <w:szCs w:val="21"/>
              </w:rPr>
            </w:pPr>
            <w:r>
              <w:rPr>
                <w:rFonts w:hint="eastAsia"/>
                <w:szCs w:val="21"/>
              </w:rPr>
              <w:t>1.3.2</w:t>
            </w:r>
          </w:p>
        </w:tc>
        <w:tc>
          <w:tcPr>
            <w:tcW w:w="1726" w:type="dxa"/>
            <w:noWrap w:val="0"/>
            <w:vAlign w:val="center"/>
          </w:tcPr>
          <w:p>
            <w:pPr>
              <w:pStyle w:val="15"/>
              <w:ind w:left="104" w:right="99"/>
              <w:jc w:val="center"/>
              <w:rPr>
                <w:rFonts w:hint="eastAsia"/>
                <w:szCs w:val="21"/>
              </w:rPr>
            </w:pPr>
            <w:r>
              <w:rPr>
                <w:rFonts w:hint="eastAsia"/>
                <w:szCs w:val="21"/>
              </w:rPr>
              <w:t>计划工期</w:t>
            </w:r>
          </w:p>
        </w:tc>
        <w:tc>
          <w:tcPr>
            <w:tcW w:w="6606" w:type="dxa"/>
            <w:noWrap w:val="0"/>
            <w:vAlign w:val="center"/>
          </w:tcPr>
          <w:p>
            <w:pPr>
              <w:pStyle w:val="15"/>
              <w:spacing w:line="360" w:lineRule="exact"/>
              <w:ind w:right="68"/>
              <w:rPr>
                <w:rFonts w:hint="eastAsia"/>
                <w:szCs w:val="21"/>
              </w:rPr>
            </w:pPr>
            <w:r>
              <w:rPr>
                <w:rFonts w:hint="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959" w:type="dxa"/>
            <w:noWrap w:val="0"/>
            <w:vAlign w:val="center"/>
          </w:tcPr>
          <w:p>
            <w:pPr>
              <w:pStyle w:val="15"/>
              <w:spacing w:before="1"/>
              <w:ind w:right="206"/>
              <w:jc w:val="right"/>
              <w:rPr>
                <w:rFonts w:hint="eastAsia"/>
                <w:szCs w:val="21"/>
              </w:rPr>
            </w:pPr>
            <w:r>
              <w:rPr>
                <w:rFonts w:hint="eastAsia"/>
                <w:szCs w:val="21"/>
              </w:rPr>
              <w:t>1.3.3</w:t>
            </w:r>
          </w:p>
        </w:tc>
        <w:tc>
          <w:tcPr>
            <w:tcW w:w="1726" w:type="dxa"/>
            <w:noWrap w:val="0"/>
            <w:vAlign w:val="center"/>
          </w:tcPr>
          <w:p>
            <w:pPr>
              <w:pStyle w:val="15"/>
              <w:ind w:left="104" w:right="99"/>
              <w:jc w:val="center"/>
              <w:rPr>
                <w:rFonts w:hint="eastAsia"/>
                <w:szCs w:val="21"/>
              </w:rPr>
            </w:pPr>
            <w:r>
              <w:rPr>
                <w:rFonts w:hint="eastAsia"/>
                <w:szCs w:val="21"/>
              </w:rPr>
              <w:t>质量要求</w:t>
            </w:r>
          </w:p>
        </w:tc>
        <w:tc>
          <w:tcPr>
            <w:tcW w:w="6606" w:type="dxa"/>
            <w:noWrap w:val="0"/>
            <w:vAlign w:val="center"/>
          </w:tcPr>
          <w:p>
            <w:pPr>
              <w:pStyle w:val="15"/>
              <w:spacing w:line="360" w:lineRule="exact"/>
              <w:ind w:right="93"/>
              <w:rPr>
                <w:rFonts w:hint="eastAsia"/>
                <w:szCs w:val="21"/>
                <w:lang w:val="en-US"/>
              </w:rPr>
            </w:pPr>
            <w:r>
              <w:rPr>
                <w:rFonts w:hint="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59" w:type="dxa"/>
            <w:noWrap w:val="0"/>
            <w:vAlign w:val="center"/>
          </w:tcPr>
          <w:p>
            <w:pPr>
              <w:pStyle w:val="15"/>
              <w:ind w:right="206"/>
              <w:jc w:val="right"/>
              <w:rPr>
                <w:rFonts w:hint="eastAsia"/>
                <w:szCs w:val="21"/>
              </w:rPr>
            </w:pPr>
            <w:r>
              <w:rPr>
                <w:rFonts w:hint="eastAsia"/>
                <w:szCs w:val="21"/>
              </w:rPr>
              <w:t>1.3.4</w:t>
            </w:r>
          </w:p>
        </w:tc>
        <w:tc>
          <w:tcPr>
            <w:tcW w:w="1726" w:type="dxa"/>
            <w:noWrap w:val="0"/>
            <w:vAlign w:val="center"/>
          </w:tcPr>
          <w:p>
            <w:pPr>
              <w:pStyle w:val="15"/>
              <w:ind w:left="104" w:right="99"/>
              <w:jc w:val="center"/>
              <w:rPr>
                <w:rFonts w:hint="eastAsia"/>
                <w:szCs w:val="21"/>
              </w:rPr>
            </w:pPr>
            <w:r>
              <w:rPr>
                <w:rFonts w:hint="eastAsia"/>
                <w:szCs w:val="21"/>
              </w:rPr>
              <w:t>安全目标</w:t>
            </w:r>
          </w:p>
        </w:tc>
        <w:tc>
          <w:tcPr>
            <w:tcW w:w="6606" w:type="dxa"/>
            <w:noWrap w:val="0"/>
            <w:vAlign w:val="center"/>
          </w:tcPr>
          <w:p>
            <w:pPr>
              <w:pStyle w:val="15"/>
              <w:rPr>
                <w:rFonts w:hint="eastAsia"/>
                <w:szCs w:val="21"/>
              </w:rPr>
            </w:pPr>
            <w:r>
              <w:rPr>
                <w:rFonts w:hint="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59" w:type="dxa"/>
            <w:noWrap w:val="0"/>
            <w:vAlign w:val="center"/>
          </w:tcPr>
          <w:p>
            <w:pPr>
              <w:pStyle w:val="15"/>
              <w:ind w:right="206"/>
              <w:jc w:val="right"/>
              <w:rPr>
                <w:rFonts w:hint="eastAsia"/>
                <w:szCs w:val="21"/>
              </w:rPr>
            </w:pPr>
            <w:r>
              <w:rPr>
                <w:rFonts w:hint="eastAsia"/>
                <w:szCs w:val="21"/>
              </w:rPr>
              <w:t>1.4.1</w:t>
            </w:r>
          </w:p>
        </w:tc>
        <w:tc>
          <w:tcPr>
            <w:tcW w:w="1726" w:type="dxa"/>
            <w:noWrap w:val="0"/>
            <w:vAlign w:val="center"/>
          </w:tcPr>
          <w:p>
            <w:pPr>
              <w:pStyle w:val="15"/>
              <w:ind w:left="104" w:right="99"/>
              <w:jc w:val="center"/>
              <w:rPr>
                <w:rFonts w:hint="eastAsia"/>
                <w:szCs w:val="21"/>
              </w:rPr>
            </w:pPr>
            <w:r>
              <w:rPr>
                <w:rFonts w:hint="eastAsia"/>
                <w:szCs w:val="21"/>
              </w:rPr>
              <w:t>投标人资质条件、能力和信誉</w:t>
            </w:r>
          </w:p>
        </w:tc>
        <w:tc>
          <w:tcPr>
            <w:tcW w:w="6606" w:type="dxa"/>
            <w:noWrap w:val="0"/>
            <w:vAlign w:val="center"/>
          </w:tcPr>
          <w:p>
            <w:pPr>
              <w:pStyle w:val="15"/>
              <w:spacing w:before="1" w:line="314" w:lineRule="exact"/>
              <w:ind w:left="107" w:right="98"/>
              <w:rPr>
                <w:rFonts w:hint="eastAsia"/>
                <w:szCs w:val="21"/>
              </w:rPr>
            </w:pPr>
            <w:r>
              <w:rPr>
                <w:rFonts w:hint="eastAsia"/>
                <w:szCs w:val="21"/>
              </w:rPr>
              <w:t>1、资质条件：详见招标公告</w:t>
            </w:r>
          </w:p>
          <w:p>
            <w:pPr>
              <w:pStyle w:val="15"/>
              <w:spacing w:before="1" w:line="314" w:lineRule="exact"/>
              <w:ind w:left="107" w:right="98"/>
              <w:rPr>
                <w:rFonts w:hint="eastAsia"/>
                <w:szCs w:val="21"/>
              </w:rPr>
            </w:pPr>
            <w:r>
              <w:rPr>
                <w:rFonts w:hint="eastAsia"/>
                <w:szCs w:val="21"/>
              </w:rPr>
              <w:t>2、业绩要求：详见招标公告</w:t>
            </w:r>
          </w:p>
          <w:p>
            <w:pPr>
              <w:pStyle w:val="15"/>
              <w:spacing w:before="1" w:line="314" w:lineRule="exact"/>
              <w:ind w:left="107" w:right="98"/>
              <w:rPr>
                <w:rFonts w:hint="eastAsia"/>
                <w:szCs w:val="21"/>
              </w:rPr>
            </w:pPr>
            <w:r>
              <w:rPr>
                <w:rFonts w:hint="eastAsia"/>
                <w:szCs w:val="21"/>
                <w:lang w:val="en-US"/>
              </w:rPr>
              <w:t>3、</w:t>
            </w:r>
            <w:r>
              <w:rPr>
                <w:rFonts w:hint="eastAsia"/>
                <w:szCs w:val="21"/>
              </w:rPr>
              <w:t>财务要求：详见招标公告</w:t>
            </w:r>
          </w:p>
          <w:p>
            <w:pPr>
              <w:pStyle w:val="15"/>
              <w:spacing w:before="1" w:line="314" w:lineRule="exact"/>
              <w:ind w:left="107" w:right="98"/>
              <w:rPr>
                <w:rFonts w:hint="eastAsia"/>
                <w:szCs w:val="21"/>
                <w:lang w:val="en-US"/>
              </w:rPr>
            </w:pPr>
            <w:r>
              <w:rPr>
                <w:rFonts w:hint="eastAsia"/>
                <w:szCs w:val="21"/>
                <w:lang w:val="en-US"/>
              </w:rPr>
              <w:t>4</w:t>
            </w:r>
            <w:r>
              <w:rPr>
                <w:rFonts w:hint="eastAsia"/>
                <w:szCs w:val="21"/>
              </w:rPr>
              <w:t>、</w:t>
            </w:r>
            <w:r>
              <w:rPr>
                <w:rFonts w:hint="eastAsia"/>
                <w:szCs w:val="21"/>
                <w:lang w:val="en-US"/>
              </w:rPr>
              <w:t>设备要求：</w:t>
            </w:r>
            <w:r>
              <w:rPr>
                <w:rFonts w:hint="eastAsia"/>
                <w:szCs w:val="21"/>
              </w:rPr>
              <w:t>详见招标公告</w:t>
            </w:r>
          </w:p>
          <w:p>
            <w:pPr>
              <w:pStyle w:val="15"/>
              <w:spacing w:before="1" w:line="314" w:lineRule="exact"/>
              <w:ind w:left="107" w:right="98"/>
              <w:rPr>
                <w:rFonts w:hint="eastAsia"/>
                <w:szCs w:val="21"/>
              </w:rPr>
            </w:pPr>
            <w:r>
              <w:rPr>
                <w:rFonts w:hint="eastAsia"/>
                <w:szCs w:val="21"/>
              </w:rPr>
              <w:t>5、其他要求：无</w:t>
            </w:r>
          </w:p>
          <w:p>
            <w:pPr>
              <w:pStyle w:val="15"/>
              <w:spacing w:before="1" w:line="314" w:lineRule="exact"/>
              <w:ind w:left="107" w:right="98"/>
              <w:rPr>
                <w:rFonts w:hint="eastAsia"/>
                <w:szCs w:val="21"/>
              </w:rPr>
            </w:pPr>
            <w:r>
              <w:rPr>
                <w:rFonts w:hint="eastAsia"/>
                <w:szCs w:val="21"/>
              </w:rPr>
              <w:t>注：上述要求应附相关证明材料，证明材料以第</w:t>
            </w:r>
            <w:r>
              <w:rPr>
                <w:rFonts w:hint="eastAsia"/>
                <w:szCs w:val="21"/>
                <w:lang w:val="en-US"/>
              </w:rPr>
              <w:t>四</w:t>
            </w:r>
            <w:r>
              <w:rPr>
                <w:rFonts w:hint="eastAsia"/>
                <w:szCs w:val="21"/>
              </w:rPr>
              <w:t>章投标文件格式中要求为准。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959" w:type="dxa"/>
            <w:noWrap w:val="0"/>
            <w:vAlign w:val="center"/>
          </w:tcPr>
          <w:p>
            <w:pPr>
              <w:pStyle w:val="15"/>
              <w:spacing w:before="155"/>
              <w:ind w:right="206"/>
              <w:jc w:val="right"/>
              <w:rPr>
                <w:rFonts w:hint="eastAsia"/>
                <w:szCs w:val="21"/>
              </w:rPr>
            </w:pPr>
            <w:r>
              <w:rPr>
                <w:rFonts w:hint="eastAsia"/>
                <w:szCs w:val="21"/>
              </w:rPr>
              <w:t>1.4.2</w:t>
            </w:r>
          </w:p>
        </w:tc>
        <w:tc>
          <w:tcPr>
            <w:tcW w:w="1726" w:type="dxa"/>
            <w:noWrap w:val="0"/>
            <w:vAlign w:val="center"/>
          </w:tcPr>
          <w:p>
            <w:pPr>
              <w:pStyle w:val="15"/>
              <w:ind w:left="104" w:right="99"/>
              <w:jc w:val="center"/>
              <w:rPr>
                <w:rFonts w:hint="eastAsia"/>
                <w:szCs w:val="21"/>
              </w:rPr>
            </w:pPr>
            <w:r>
              <w:rPr>
                <w:rFonts w:hint="eastAsia"/>
                <w:szCs w:val="21"/>
              </w:rPr>
              <w:t>是否接受</w:t>
            </w:r>
          </w:p>
          <w:p>
            <w:pPr>
              <w:pStyle w:val="15"/>
              <w:ind w:left="104" w:right="99"/>
              <w:jc w:val="center"/>
              <w:rPr>
                <w:rFonts w:hint="eastAsia"/>
                <w:szCs w:val="21"/>
              </w:rPr>
            </w:pPr>
            <w:r>
              <w:rPr>
                <w:rFonts w:hint="eastAsia"/>
                <w:szCs w:val="21"/>
              </w:rPr>
              <w:t>联合体投标</w:t>
            </w:r>
          </w:p>
        </w:tc>
        <w:tc>
          <w:tcPr>
            <w:tcW w:w="6606" w:type="dxa"/>
            <w:noWrap w:val="0"/>
            <w:vAlign w:val="center"/>
          </w:tcPr>
          <w:p>
            <w:pPr>
              <w:pStyle w:val="15"/>
              <w:spacing w:before="155"/>
              <w:ind w:left="107" w:firstLine="630" w:firstLineChars="300"/>
              <w:rPr>
                <w:rFonts w:hint="eastAsia"/>
                <w:szCs w:val="21"/>
                <w:lang w:val="en-US"/>
              </w:rPr>
            </w:pPr>
            <w:r>
              <w:rPr>
                <w:rFonts w:hint="eastAsia"/>
                <w:szCs w:val="21"/>
                <w:lang w:val="en-US"/>
              </w:rPr>
              <w:t xml:space="preserve"> </w:t>
            </w:r>
            <w:r>
              <w:rPr>
                <w:rFonts w:hint="eastAsia"/>
                <w:szCs w:val="21"/>
                <w:lang w:val="en-US"/>
              </w:rPr>
              <w:sym w:font="Wingdings 2" w:char="00A3"/>
            </w:r>
            <w:r>
              <w:rPr>
                <w:rFonts w:hint="eastAsia"/>
                <w:szCs w:val="21"/>
              </w:rPr>
              <w:t>接受</w:t>
            </w:r>
            <w:r>
              <w:rPr>
                <w:rFonts w:hint="eastAsia"/>
                <w:szCs w:val="21"/>
                <w:lang w:val="en-US"/>
              </w:rPr>
              <w:t xml:space="preserve">          </w:t>
            </w:r>
            <w:r>
              <w:rPr>
                <w:rFonts w:hint="eastAsia"/>
                <w:szCs w:val="21"/>
                <w:lang w:val="en-US"/>
              </w:rPr>
              <w:sym w:font="Wingdings 2" w:char="0052"/>
            </w:r>
            <w:r>
              <w:rPr>
                <w:rFonts w:hint="eastAsia"/>
                <w:szCs w:val="21"/>
                <w:lang w:val="en-US"/>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959" w:type="dxa"/>
            <w:noWrap w:val="0"/>
            <w:vAlign w:val="center"/>
          </w:tcPr>
          <w:p>
            <w:pPr>
              <w:pStyle w:val="15"/>
              <w:ind w:right="206"/>
              <w:jc w:val="right"/>
              <w:rPr>
                <w:rFonts w:hint="eastAsia"/>
                <w:szCs w:val="21"/>
              </w:rPr>
            </w:pPr>
            <w:r>
              <w:rPr>
                <w:rFonts w:hint="eastAsia"/>
                <w:szCs w:val="21"/>
              </w:rPr>
              <w:t>1.4.6</w:t>
            </w:r>
          </w:p>
        </w:tc>
        <w:tc>
          <w:tcPr>
            <w:tcW w:w="1726" w:type="dxa"/>
            <w:noWrap w:val="0"/>
            <w:vAlign w:val="center"/>
          </w:tcPr>
          <w:p>
            <w:pPr>
              <w:pStyle w:val="15"/>
              <w:ind w:left="104" w:right="99"/>
              <w:jc w:val="center"/>
              <w:rPr>
                <w:rFonts w:hint="eastAsia"/>
                <w:szCs w:val="21"/>
              </w:rPr>
            </w:pPr>
            <w:r>
              <w:rPr>
                <w:rFonts w:hint="eastAsia"/>
                <w:szCs w:val="21"/>
              </w:rPr>
              <w:t>允许参投分段数量及允许中标数量</w:t>
            </w:r>
          </w:p>
        </w:tc>
        <w:tc>
          <w:tcPr>
            <w:tcW w:w="6606" w:type="dxa"/>
            <w:noWrap w:val="0"/>
            <w:vAlign w:val="center"/>
          </w:tcPr>
          <w:p>
            <w:pPr>
              <w:pStyle w:val="15"/>
              <w:spacing w:before="1" w:line="314" w:lineRule="exact"/>
              <w:ind w:left="107" w:right="98"/>
              <w:rPr>
                <w:rFonts w:hint="eastAsia"/>
                <w:szCs w:val="21"/>
              </w:rPr>
            </w:pPr>
            <w:r>
              <w:rPr>
                <w:rFonts w:hint="eastAsia"/>
                <w:szCs w:val="21"/>
              </w:rPr>
              <w:t xml:space="preserve">见招标公告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59" w:type="dxa"/>
            <w:noWrap w:val="0"/>
            <w:vAlign w:val="center"/>
          </w:tcPr>
          <w:p>
            <w:pPr>
              <w:pStyle w:val="15"/>
              <w:ind w:right="-111"/>
              <w:jc w:val="center"/>
              <w:rPr>
                <w:rFonts w:hint="eastAsia"/>
                <w:szCs w:val="21"/>
                <w:lang w:val="en-US"/>
              </w:rPr>
            </w:pPr>
            <w:r>
              <w:rPr>
                <w:rFonts w:hint="eastAsia"/>
                <w:szCs w:val="21"/>
              </w:rPr>
              <w:t>1.</w:t>
            </w:r>
            <w:r>
              <w:rPr>
                <w:rFonts w:hint="eastAsia"/>
                <w:szCs w:val="21"/>
                <w:lang w:val="en-US"/>
              </w:rPr>
              <w:t>11</w:t>
            </w:r>
            <w:r>
              <w:rPr>
                <w:rFonts w:hint="eastAsia"/>
                <w:szCs w:val="21"/>
              </w:rPr>
              <w:t>.</w:t>
            </w:r>
            <w:r>
              <w:rPr>
                <w:rFonts w:hint="eastAsia"/>
                <w:szCs w:val="21"/>
                <w:lang w:val="en-US"/>
              </w:rPr>
              <w:t>1</w:t>
            </w:r>
          </w:p>
        </w:tc>
        <w:tc>
          <w:tcPr>
            <w:tcW w:w="1726" w:type="dxa"/>
            <w:noWrap w:val="0"/>
            <w:vAlign w:val="center"/>
          </w:tcPr>
          <w:p>
            <w:pPr>
              <w:pStyle w:val="15"/>
              <w:ind w:left="104" w:right="99"/>
              <w:jc w:val="center"/>
              <w:rPr>
                <w:rFonts w:hint="eastAsia"/>
                <w:szCs w:val="21"/>
              </w:rPr>
            </w:pPr>
            <w:r>
              <w:rPr>
                <w:rFonts w:hint="eastAsia"/>
                <w:szCs w:val="21"/>
              </w:rPr>
              <w:t>分包</w:t>
            </w:r>
          </w:p>
        </w:tc>
        <w:tc>
          <w:tcPr>
            <w:tcW w:w="6606" w:type="dxa"/>
            <w:noWrap w:val="0"/>
            <w:vAlign w:val="center"/>
          </w:tcPr>
          <w:p>
            <w:pPr>
              <w:pStyle w:val="15"/>
              <w:spacing w:line="360" w:lineRule="auto"/>
              <w:ind w:firstLine="210" w:firstLineChars="100"/>
              <w:rPr>
                <w:rFonts w:hint="eastAsia"/>
                <w:szCs w:val="21"/>
              </w:rPr>
            </w:pPr>
            <w:r>
              <w:rPr>
                <w:rFonts w:hint="eastAsia"/>
                <w:szCs w:val="21"/>
                <w:lang w:val="en-US"/>
              </w:rPr>
              <w:sym w:font="Wingdings 2" w:char="0052"/>
            </w:r>
            <w:r>
              <w:rPr>
                <w:rFonts w:hint="eastAsia"/>
                <w:szCs w:val="21"/>
              </w:rPr>
              <w:t>不允许。</w:t>
            </w:r>
          </w:p>
          <w:p>
            <w:pPr>
              <w:pStyle w:val="15"/>
              <w:ind w:firstLine="210" w:firstLineChars="100"/>
              <w:rPr>
                <w:rFonts w:hint="eastAsia"/>
                <w:szCs w:val="21"/>
              </w:rPr>
            </w:pPr>
            <w:r>
              <w:rPr>
                <w:rFonts w:hint="eastAsia"/>
                <w:szCs w:val="21"/>
                <w:lang w:val="en-US"/>
              </w:rPr>
              <w:sym w:font="Wingdings 2" w:char="00A3"/>
            </w:r>
            <w:r>
              <w:rPr>
                <w:rFonts w:hint="eastAsia"/>
                <w:szCs w:val="21"/>
              </w:rPr>
              <w:t>允许，允许分包的专项工程：非关键性工程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959" w:type="dxa"/>
            <w:noWrap w:val="0"/>
            <w:vAlign w:val="center"/>
          </w:tcPr>
          <w:p>
            <w:pPr>
              <w:pStyle w:val="15"/>
              <w:ind w:right="153"/>
              <w:jc w:val="right"/>
              <w:rPr>
                <w:rFonts w:hint="eastAsia"/>
              </w:rPr>
            </w:pPr>
            <w:r>
              <w:rPr>
                <w:rFonts w:hint="eastAsia"/>
              </w:rPr>
              <w:t>1.12.2</w:t>
            </w:r>
          </w:p>
        </w:tc>
        <w:tc>
          <w:tcPr>
            <w:tcW w:w="1726" w:type="dxa"/>
            <w:noWrap w:val="0"/>
            <w:vAlign w:val="center"/>
          </w:tcPr>
          <w:p>
            <w:pPr>
              <w:pStyle w:val="15"/>
              <w:ind w:left="104" w:right="99"/>
              <w:jc w:val="center"/>
              <w:rPr>
                <w:rFonts w:hint="eastAsia"/>
                <w:szCs w:val="21"/>
              </w:rPr>
            </w:pPr>
            <w:r>
              <w:rPr>
                <w:rFonts w:hint="eastAsia"/>
                <w:szCs w:val="21"/>
              </w:rPr>
              <w:t>重大偏差</w:t>
            </w:r>
          </w:p>
        </w:tc>
        <w:tc>
          <w:tcPr>
            <w:tcW w:w="6606" w:type="dxa"/>
            <w:noWrap w:val="0"/>
            <w:vAlign w:val="center"/>
          </w:tcPr>
          <w:p>
            <w:pPr>
              <w:pStyle w:val="15"/>
              <w:rPr>
                <w:rFonts w:hint="eastAsia"/>
                <w:szCs w:val="21"/>
                <w:lang w:val="en-US"/>
              </w:rPr>
            </w:pPr>
            <w:r>
              <w:rPr>
                <w:rFonts w:hint="eastAsia"/>
                <w:szCs w:val="21"/>
              </w:rPr>
              <w:t>不允许重大偏离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59" w:type="dxa"/>
            <w:noWrap w:val="0"/>
            <w:vAlign w:val="center"/>
          </w:tcPr>
          <w:p>
            <w:pPr>
              <w:adjustRightInd w:val="0"/>
              <w:spacing w:line="360" w:lineRule="auto"/>
              <w:jc w:val="center"/>
              <w:rPr>
                <w:rFonts w:hint="eastAsia" w:ascii="宋体" w:hAnsi="宋体" w:cs="宋体"/>
              </w:rPr>
            </w:pPr>
            <w:r>
              <w:rPr>
                <w:rFonts w:hint="eastAsia" w:ascii="宋体" w:hAnsi="宋体" w:cs="宋体"/>
                <w:szCs w:val="21"/>
              </w:rPr>
              <w:t>2.1.1</w:t>
            </w:r>
          </w:p>
        </w:tc>
        <w:tc>
          <w:tcPr>
            <w:tcW w:w="1726" w:type="dxa"/>
            <w:noWrap w:val="0"/>
            <w:vAlign w:val="center"/>
          </w:tcPr>
          <w:p>
            <w:pPr>
              <w:pStyle w:val="15"/>
              <w:ind w:left="104" w:right="99"/>
              <w:jc w:val="center"/>
              <w:rPr>
                <w:rFonts w:hint="eastAsia"/>
                <w:szCs w:val="21"/>
              </w:rPr>
            </w:pPr>
            <w:r>
              <w:rPr>
                <w:rFonts w:hint="eastAsia"/>
                <w:szCs w:val="21"/>
              </w:rPr>
              <w:t>构成招标文件的</w:t>
            </w:r>
          </w:p>
          <w:p>
            <w:pPr>
              <w:pStyle w:val="15"/>
              <w:ind w:left="104" w:right="99"/>
              <w:jc w:val="center"/>
              <w:rPr>
                <w:rFonts w:hint="eastAsia"/>
                <w:szCs w:val="21"/>
              </w:rPr>
            </w:pPr>
            <w:r>
              <w:rPr>
                <w:rFonts w:hint="eastAsia"/>
                <w:szCs w:val="21"/>
              </w:rPr>
              <w:t>其他材料</w:t>
            </w:r>
          </w:p>
        </w:tc>
        <w:tc>
          <w:tcPr>
            <w:tcW w:w="6606" w:type="dxa"/>
            <w:noWrap w:val="0"/>
            <w:vAlign w:val="center"/>
          </w:tcPr>
          <w:p>
            <w:pPr>
              <w:pStyle w:val="15"/>
              <w:rPr>
                <w:rFonts w:hint="eastAsia"/>
                <w:szCs w:val="21"/>
              </w:rPr>
            </w:pPr>
            <w:r>
              <w:rPr>
                <w:rFonts w:hint="eastAsia"/>
                <w:szCs w:val="21"/>
              </w:rPr>
              <w:t>招标文件补遗书（如果有）、通知书（如果有）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59" w:type="dxa"/>
            <w:noWrap w:val="0"/>
            <w:vAlign w:val="center"/>
          </w:tcPr>
          <w:p>
            <w:pPr>
              <w:pStyle w:val="15"/>
              <w:spacing w:before="1"/>
              <w:ind w:left="107" w:right="99"/>
              <w:jc w:val="center"/>
              <w:rPr>
                <w:rFonts w:hint="eastAsia"/>
              </w:rPr>
            </w:pPr>
            <w:r>
              <w:rPr>
                <w:rFonts w:hint="eastAsia"/>
              </w:rPr>
              <w:t>2.2.3</w:t>
            </w:r>
          </w:p>
        </w:tc>
        <w:tc>
          <w:tcPr>
            <w:tcW w:w="1726" w:type="dxa"/>
            <w:noWrap w:val="0"/>
            <w:vAlign w:val="center"/>
          </w:tcPr>
          <w:p>
            <w:pPr>
              <w:pStyle w:val="15"/>
              <w:ind w:left="104" w:right="99"/>
              <w:jc w:val="center"/>
              <w:rPr>
                <w:rFonts w:hint="eastAsia"/>
                <w:szCs w:val="21"/>
              </w:rPr>
            </w:pPr>
            <w:r>
              <w:rPr>
                <w:rFonts w:hint="eastAsia"/>
                <w:szCs w:val="21"/>
              </w:rPr>
              <w:t>投标人确认收到</w:t>
            </w:r>
          </w:p>
          <w:p>
            <w:pPr>
              <w:pStyle w:val="15"/>
              <w:ind w:left="104" w:right="99"/>
              <w:jc w:val="center"/>
              <w:rPr>
                <w:rFonts w:hint="eastAsia"/>
                <w:szCs w:val="21"/>
              </w:rPr>
            </w:pPr>
            <w:r>
              <w:rPr>
                <w:rFonts w:hint="eastAsia"/>
                <w:szCs w:val="21"/>
              </w:rPr>
              <w:t>招标文件澄清</w:t>
            </w:r>
          </w:p>
        </w:tc>
        <w:tc>
          <w:tcPr>
            <w:tcW w:w="6606" w:type="dxa"/>
            <w:noWrap w:val="0"/>
            <w:vAlign w:val="center"/>
          </w:tcPr>
          <w:p>
            <w:pPr>
              <w:pStyle w:val="15"/>
              <w:rPr>
                <w:rFonts w:hint="eastAsia"/>
                <w:szCs w:val="21"/>
              </w:rPr>
            </w:pPr>
            <w:r>
              <w:rPr>
                <w:rFonts w:hint="eastAsia"/>
                <w:szCs w:val="21"/>
              </w:rPr>
              <w:t>由投标人从招标人处领取，不要求投标人向招标人发出确认函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59" w:type="dxa"/>
            <w:noWrap w:val="0"/>
            <w:vAlign w:val="center"/>
          </w:tcPr>
          <w:p>
            <w:pPr>
              <w:pStyle w:val="15"/>
              <w:spacing w:before="1"/>
              <w:ind w:left="216"/>
              <w:rPr>
                <w:rFonts w:hint="eastAsia"/>
              </w:rPr>
            </w:pPr>
            <w:r>
              <w:rPr>
                <w:rFonts w:hint="eastAsia"/>
              </w:rPr>
              <w:t>3.1.1</w:t>
            </w:r>
          </w:p>
        </w:tc>
        <w:tc>
          <w:tcPr>
            <w:tcW w:w="1726" w:type="dxa"/>
            <w:noWrap w:val="0"/>
            <w:vAlign w:val="center"/>
          </w:tcPr>
          <w:p>
            <w:pPr>
              <w:pStyle w:val="15"/>
              <w:ind w:left="104" w:right="99"/>
              <w:jc w:val="center"/>
              <w:rPr>
                <w:rFonts w:hint="eastAsia"/>
                <w:szCs w:val="21"/>
              </w:rPr>
            </w:pPr>
            <w:r>
              <w:rPr>
                <w:rFonts w:hint="eastAsia"/>
                <w:szCs w:val="21"/>
              </w:rPr>
              <w:t>投标文件密封形</w:t>
            </w:r>
          </w:p>
          <w:p>
            <w:pPr>
              <w:pStyle w:val="15"/>
              <w:ind w:left="104" w:right="99"/>
              <w:jc w:val="center"/>
              <w:rPr>
                <w:rFonts w:hint="eastAsia"/>
                <w:szCs w:val="21"/>
              </w:rPr>
            </w:pPr>
            <w:r>
              <w:rPr>
                <w:rFonts w:hint="eastAsia"/>
                <w:szCs w:val="21"/>
              </w:rPr>
              <w:t>式</w:t>
            </w:r>
          </w:p>
        </w:tc>
        <w:tc>
          <w:tcPr>
            <w:tcW w:w="6606" w:type="dxa"/>
            <w:noWrap w:val="0"/>
            <w:vAlign w:val="center"/>
          </w:tcPr>
          <w:p>
            <w:pPr>
              <w:pStyle w:val="15"/>
              <w:ind w:firstLine="630" w:firstLineChars="300"/>
              <w:rPr>
                <w:rFonts w:hint="eastAsia"/>
              </w:rPr>
            </w:pPr>
            <w:r>
              <w:rPr>
                <w:rFonts w:hint="eastAsia"/>
                <w:szCs w:val="21"/>
                <w:lang w:val="en-US"/>
              </w:rPr>
              <w:sym w:font="Wingdings 2" w:char="00A3"/>
            </w:r>
            <w:r>
              <w:rPr>
                <w:rFonts w:hint="eastAsia"/>
                <w:lang w:val="en-US"/>
              </w:rPr>
              <w:t xml:space="preserve"> 双信封</w:t>
            </w:r>
          </w:p>
          <w:p>
            <w:pPr>
              <w:pStyle w:val="15"/>
              <w:spacing w:before="91" w:line="263" w:lineRule="exact"/>
              <w:ind w:firstLine="630" w:firstLineChars="300"/>
              <w:rPr>
                <w:rFonts w:hint="eastAsia"/>
                <w:lang w:val="en-US"/>
              </w:rPr>
            </w:pPr>
            <w:r>
              <w:rPr>
                <w:rFonts w:hint="eastAsia"/>
                <w:szCs w:val="21"/>
                <w:lang w:val="en-US"/>
              </w:rPr>
              <w:sym w:font="Wingdings 2" w:char="0052"/>
            </w:r>
            <w:r>
              <w:rPr>
                <w:rFonts w:hint="eastAsia"/>
                <w:szCs w:val="21"/>
                <w:lang w:val="en-US"/>
              </w:rPr>
              <w:t xml:space="preserve"> </w:t>
            </w:r>
            <w:r>
              <w:rPr>
                <w:rFonts w:hint="eastAsia"/>
                <w:lang w:val="en-US"/>
              </w:rPr>
              <w:t xml:space="preserve"> 单信封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jc w:val="center"/>
        </w:trPr>
        <w:tc>
          <w:tcPr>
            <w:tcW w:w="959" w:type="dxa"/>
            <w:noWrap w:val="0"/>
            <w:vAlign w:val="center"/>
          </w:tcPr>
          <w:p>
            <w:pPr>
              <w:pStyle w:val="15"/>
              <w:ind w:left="107" w:right="99"/>
              <w:jc w:val="center"/>
              <w:rPr>
                <w:rFonts w:hint="eastAsia"/>
              </w:rPr>
            </w:pPr>
            <w:r>
              <w:rPr>
                <w:rFonts w:hint="eastAsia"/>
              </w:rPr>
              <w:t>3.1.1</w:t>
            </w:r>
          </w:p>
        </w:tc>
        <w:tc>
          <w:tcPr>
            <w:tcW w:w="1726" w:type="dxa"/>
            <w:noWrap w:val="0"/>
            <w:vAlign w:val="center"/>
          </w:tcPr>
          <w:p>
            <w:pPr>
              <w:pStyle w:val="15"/>
              <w:spacing w:before="77"/>
              <w:ind w:left="107" w:right="99"/>
              <w:jc w:val="center"/>
              <w:rPr>
                <w:rFonts w:hint="eastAsia"/>
              </w:rPr>
            </w:pPr>
            <w:r>
              <w:rPr>
                <w:rFonts w:hint="eastAsia"/>
              </w:rPr>
              <w:t>投标文件的组成</w:t>
            </w:r>
          </w:p>
        </w:tc>
        <w:tc>
          <w:tcPr>
            <w:tcW w:w="6606" w:type="dxa"/>
            <w:noWrap w:val="0"/>
            <w:vAlign w:val="center"/>
          </w:tcPr>
          <w:p>
            <w:pPr>
              <w:pStyle w:val="15"/>
              <w:spacing w:before="77"/>
              <w:ind w:left="107" w:right="99"/>
              <w:jc w:val="left"/>
              <w:rPr>
                <w:rFonts w:hint="eastAsia"/>
              </w:rPr>
            </w:pPr>
            <w:r>
              <w:rPr>
                <w:rFonts w:hint="eastAsia"/>
              </w:rPr>
              <w:t>投标文件应包括下列内容：</w:t>
            </w:r>
          </w:p>
          <w:p>
            <w:pPr>
              <w:pStyle w:val="15"/>
              <w:spacing w:before="77"/>
              <w:ind w:left="107" w:right="99"/>
              <w:jc w:val="left"/>
              <w:rPr>
                <w:rFonts w:hint="eastAsia"/>
                <w:lang w:val="en-US"/>
              </w:rPr>
            </w:pPr>
            <w:r>
              <w:rPr>
                <w:rFonts w:hint="eastAsia"/>
                <w:lang w:val="en-US"/>
              </w:rPr>
              <w:t>1、投标函</w:t>
            </w:r>
          </w:p>
          <w:p>
            <w:pPr>
              <w:pStyle w:val="15"/>
              <w:spacing w:before="77"/>
              <w:ind w:left="107" w:right="99"/>
              <w:jc w:val="left"/>
              <w:rPr>
                <w:rFonts w:hint="eastAsia"/>
                <w:lang w:val="en-US"/>
              </w:rPr>
            </w:pPr>
            <w:r>
              <w:rPr>
                <w:rFonts w:hint="eastAsia"/>
                <w:lang w:val="en-US"/>
              </w:rPr>
              <w:t>2、授权委托书或法定代表人身份证明</w:t>
            </w:r>
          </w:p>
          <w:p>
            <w:pPr>
              <w:pStyle w:val="15"/>
              <w:spacing w:before="77"/>
              <w:ind w:left="107" w:right="99"/>
              <w:jc w:val="left"/>
              <w:rPr>
                <w:rFonts w:hint="eastAsia"/>
                <w:lang w:val="en-US"/>
              </w:rPr>
            </w:pPr>
            <w:r>
              <w:rPr>
                <w:rFonts w:hint="eastAsia"/>
                <w:lang w:val="en-US"/>
              </w:rPr>
              <w:t>3、投标保证金</w:t>
            </w:r>
          </w:p>
          <w:p>
            <w:pPr>
              <w:pStyle w:val="15"/>
              <w:spacing w:before="77"/>
              <w:ind w:left="107" w:right="99"/>
              <w:jc w:val="left"/>
              <w:rPr>
                <w:rFonts w:hint="eastAsia"/>
                <w:lang w:val="en-US"/>
              </w:rPr>
            </w:pPr>
            <w:r>
              <w:rPr>
                <w:rFonts w:hint="eastAsia"/>
                <w:lang w:val="en-US"/>
              </w:rPr>
              <w:t>4、承诺书、企业信用加分申请书（若有）</w:t>
            </w:r>
          </w:p>
          <w:p>
            <w:pPr>
              <w:pStyle w:val="15"/>
              <w:spacing w:before="77"/>
              <w:ind w:left="107" w:right="99"/>
              <w:jc w:val="left"/>
              <w:rPr>
                <w:rFonts w:hint="eastAsia"/>
                <w:lang w:val="en-US"/>
              </w:rPr>
            </w:pPr>
            <w:r>
              <w:rPr>
                <w:rFonts w:hint="eastAsia"/>
                <w:lang w:val="en-US"/>
              </w:rPr>
              <w:t>5、施工组织设计</w:t>
            </w:r>
          </w:p>
          <w:p>
            <w:pPr>
              <w:pStyle w:val="15"/>
              <w:spacing w:before="77"/>
              <w:ind w:left="107" w:right="99"/>
              <w:jc w:val="left"/>
              <w:rPr>
                <w:rFonts w:hint="eastAsia"/>
                <w:lang w:val="en-US"/>
              </w:rPr>
            </w:pPr>
            <w:r>
              <w:rPr>
                <w:rFonts w:hint="eastAsia"/>
                <w:lang w:val="en-US"/>
              </w:rPr>
              <w:t>6、拟投入本项目主要管理人员</w:t>
            </w:r>
          </w:p>
          <w:p>
            <w:pPr>
              <w:pStyle w:val="15"/>
              <w:spacing w:before="77"/>
              <w:ind w:left="107" w:right="99"/>
              <w:jc w:val="left"/>
              <w:rPr>
                <w:rFonts w:hint="eastAsia"/>
                <w:lang w:val="en-US"/>
              </w:rPr>
            </w:pPr>
            <w:r>
              <w:rPr>
                <w:rFonts w:hint="eastAsia"/>
                <w:lang w:val="en-US"/>
              </w:rPr>
              <w:t>7、计划投入设备表</w:t>
            </w:r>
          </w:p>
          <w:p>
            <w:pPr>
              <w:pStyle w:val="15"/>
              <w:spacing w:before="77"/>
              <w:ind w:left="107" w:right="99"/>
              <w:jc w:val="left"/>
              <w:rPr>
                <w:rFonts w:hint="eastAsia"/>
                <w:lang w:val="en-US"/>
              </w:rPr>
            </w:pPr>
            <w:r>
              <w:rPr>
                <w:rFonts w:hint="eastAsia"/>
                <w:lang w:val="en-US"/>
              </w:rPr>
              <w:t>8、投标人基本情况表</w:t>
            </w:r>
          </w:p>
          <w:p>
            <w:pPr>
              <w:pStyle w:val="15"/>
              <w:spacing w:before="77"/>
              <w:ind w:left="107" w:right="99"/>
              <w:jc w:val="left"/>
              <w:rPr>
                <w:rFonts w:hint="eastAsia"/>
                <w:lang w:val="en-US"/>
              </w:rPr>
            </w:pPr>
            <w:r>
              <w:rPr>
                <w:rFonts w:hint="eastAsia"/>
                <w:lang w:val="en-US"/>
              </w:rPr>
              <w:t>9、近年完成的类似项目情况表</w:t>
            </w:r>
          </w:p>
          <w:p>
            <w:pPr>
              <w:pStyle w:val="15"/>
              <w:spacing w:before="77"/>
              <w:ind w:left="107" w:right="99"/>
              <w:jc w:val="left"/>
              <w:rPr>
                <w:rFonts w:hint="eastAsia"/>
                <w:lang w:val="en-US"/>
              </w:rPr>
            </w:pPr>
            <w:r>
              <w:rPr>
                <w:rFonts w:hint="eastAsia"/>
                <w:lang w:val="en-US"/>
              </w:rPr>
              <w:t>10、已标价的工程量清单</w:t>
            </w:r>
          </w:p>
          <w:p>
            <w:pPr>
              <w:pStyle w:val="15"/>
              <w:spacing w:before="77"/>
              <w:ind w:left="107" w:right="99"/>
              <w:jc w:val="left"/>
              <w:rPr>
                <w:rFonts w:hint="eastAsia"/>
              </w:rPr>
            </w:pPr>
            <w:r>
              <w:rPr>
                <w:rFonts w:hint="eastAsia"/>
                <w:lang w:val="en-US"/>
              </w:rPr>
              <w:t>11、其他资料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9" w:type="dxa"/>
            <w:noWrap w:val="0"/>
            <w:vAlign w:val="center"/>
          </w:tcPr>
          <w:p>
            <w:pPr>
              <w:pStyle w:val="15"/>
              <w:ind w:left="107" w:right="99"/>
              <w:jc w:val="center"/>
              <w:rPr>
                <w:rFonts w:hint="eastAsia"/>
              </w:rPr>
            </w:pPr>
            <w:r>
              <w:rPr>
                <w:rFonts w:hint="eastAsia"/>
              </w:rPr>
              <w:t>3.2.1</w:t>
            </w:r>
          </w:p>
        </w:tc>
        <w:tc>
          <w:tcPr>
            <w:tcW w:w="1726" w:type="dxa"/>
            <w:noWrap w:val="0"/>
            <w:vAlign w:val="center"/>
          </w:tcPr>
          <w:p>
            <w:pPr>
              <w:pStyle w:val="15"/>
              <w:ind w:left="6" w:hanging="6"/>
              <w:jc w:val="center"/>
              <w:rPr>
                <w:rFonts w:hint="eastAsia"/>
              </w:rPr>
            </w:pPr>
            <w:r>
              <w:rPr>
                <w:rFonts w:hint="eastAsia"/>
              </w:rPr>
              <w:t>工程量清单的填写方式</w:t>
            </w:r>
          </w:p>
        </w:tc>
        <w:tc>
          <w:tcPr>
            <w:tcW w:w="6606" w:type="dxa"/>
            <w:noWrap w:val="0"/>
            <w:vAlign w:val="center"/>
          </w:tcPr>
          <w:p>
            <w:pPr>
              <w:pStyle w:val="15"/>
              <w:spacing w:before="91" w:line="260" w:lineRule="exact"/>
              <w:ind w:left="107"/>
              <w:rPr>
                <w:rFonts w:hint="eastAsia"/>
              </w:rPr>
            </w:pPr>
            <w:r>
              <w:rPr>
                <w:rFonts w:hint="eastAsia"/>
              </w:rPr>
              <w:t>投标人按照招标人提供的书面工程量清单填写工程量清单</w:t>
            </w:r>
          </w:p>
          <w:p>
            <w:pPr>
              <w:pStyle w:val="15"/>
              <w:spacing w:before="91" w:line="260" w:lineRule="exact"/>
              <w:ind w:left="107"/>
              <w:rPr>
                <w:rFonts w:hint="eastAsia"/>
              </w:rPr>
            </w:pPr>
            <w:r>
              <w:rPr>
                <w:rFonts w:hint="eastAsia"/>
              </w:rPr>
              <w:t>增值税税金采用一般计税法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959" w:type="dxa"/>
            <w:noWrap w:val="0"/>
            <w:vAlign w:val="center"/>
          </w:tcPr>
          <w:p>
            <w:pPr>
              <w:pStyle w:val="15"/>
              <w:ind w:left="216"/>
              <w:rPr>
                <w:rFonts w:hint="eastAsia"/>
              </w:rPr>
            </w:pPr>
            <w:r>
              <w:rPr>
                <w:rFonts w:hint="eastAsia"/>
              </w:rPr>
              <w:t>3.2.3</w:t>
            </w:r>
          </w:p>
        </w:tc>
        <w:tc>
          <w:tcPr>
            <w:tcW w:w="1726" w:type="dxa"/>
            <w:noWrap w:val="0"/>
            <w:vAlign w:val="center"/>
          </w:tcPr>
          <w:p>
            <w:pPr>
              <w:pStyle w:val="15"/>
              <w:spacing w:before="77"/>
              <w:ind w:left="107" w:right="99"/>
              <w:jc w:val="center"/>
              <w:rPr>
                <w:rFonts w:hint="eastAsia"/>
              </w:rPr>
            </w:pPr>
            <w:r>
              <w:rPr>
                <w:rFonts w:hint="eastAsia"/>
              </w:rPr>
              <w:t>报价方式</w:t>
            </w:r>
          </w:p>
        </w:tc>
        <w:tc>
          <w:tcPr>
            <w:tcW w:w="6606" w:type="dxa"/>
            <w:noWrap w:val="0"/>
            <w:vAlign w:val="center"/>
          </w:tcPr>
          <w:p>
            <w:pPr>
              <w:pStyle w:val="15"/>
              <w:ind w:firstLine="210" w:firstLineChars="100"/>
              <w:rPr>
                <w:rFonts w:hint="eastAsia"/>
              </w:rPr>
            </w:pPr>
            <w:r>
              <w:rPr>
                <w:rFonts w:hint="eastAsia"/>
                <w:lang w:val="en-US" w:bidi="ar-SA"/>
              </w:rPr>
              <w:t xml:space="preserve">  </w:t>
            </w:r>
            <w:r>
              <w:rPr>
                <w:rFonts w:hint="eastAsia"/>
                <w:szCs w:val="21"/>
                <w:lang w:val="en-US"/>
              </w:rPr>
              <w:t xml:space="preserve"> </w:t>
            </w:r>
            <w:r>
              <w:rPr>
                <w:rFonts w:hint="eastAsia"/>
                <w:szCs w:val="21"/>
                <w:lang w:val="en-US"/>
              </w:rPr>
              <w:sym w:font="Wingdings 2" w:char="0052"/>
            </w:r>
            <w:r>
              <w:rPr>
                <w:rFonts w:hint="eastAsia"/>
                <w:lang w:val="en-US"/>
              </w:rPr>
              <w:t>单价</w:t>
            </w:r>
          </w:p>
          <w:p>
            <w:pPr>
              <w:pStyle w:val="15"/>
              <w:spacing w:before="91" w:line="263" w:lineRule="exact"/>
              <w:ind w:left="107" w:firstLine="420" w:firstLineChars="200"/>
              <w:rPr>
                <w:rFonts w:hint="eastAsia"/>
                <w:lang w:val="en-US"/>
              </w:rPr>
            </w:pPr>
            <w:r>
              <w:rPr>
                <w:rFonts w:hint="eastAsia"/>
                <w:szCs w:val="21"/>
                <w:lang w:val="en-US"/>
              </w:rPr>
              <w:sym w:font="Wingdings 2" w:char="00A3"/>
            </w:r>
            <w:r>
              <w:rPr>
                <w:rFonts w:hint="eastAsia"/>
                <w:lang w:val="en-US"/>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959" w:type="dxa"/>
            <w:noWrap w:val="0"/>
            <w:vAlign w:val="center"/>
          </w:tcPr>
          <w:p>
            <w:pPr>
              <w:pStyle w:val="15"/>
              <w:ind w:left="216"/>
              <w:rPr>
                <w:rFonts w:hint="eastAsia"/>
              </w:rPr>
            </w:pPr>
            <w:r>
              <w:rPr>
                <w:rFonts w:hint="eastAsia"/>
              </w:rPr>
              <w:t>3.2.6</w:t>
            </w:r>
          </w:p>
        </w:tc>
        <w:tc>
          <w:tcPr>
            <w:tcW w:w="1726" w:type="dxa"/>
            <w:noWrap w:val="0"/>
            <w:vAlign w:val="center"/>
          </w:tcPr>
          <w:p>
            <w:pPr>
              <w:pStyle w:val="15"/>
              <w:spacing w:before="77"/>
              <w:ind w:left="107" w:right="99"/>
              <w:jc w:val="center"/>
              <w:rPr>
                <w:rFonts w:hint="eastAsia"/>
              </w:rPr>
            </w:pPr>
            <w:r>
              <w:rPr>
                <w:rFonts w:hint="eastAsia"/>
              </w:rPr>
              <w:t>是否接受调价函</w:t>
            </w:r>
          </w:p>
        </w:tc>
        <w:tc>
          <w:tcPr>
            <w:tcW w:w="6606" w:type="dxa"/>
            <w:noWrap w:val="0"/>
            <w:vAlign w:val="center"/>
          </w:tcPr>
          <w:p>
            <w:pPr>
              <w:pStyle w:val="15"/>
              <w:ind w:firstLine="420" w:firstLineChars="200"/>
              <w:rPr>
                <w:rFonts w:hint="eastAsia"/>
              </w:rPr>
            </w:pPr>
            <w:r>
              <w:rPr>
                <w:rFonts w:hint="eastAsia"/>
                <w:lang w:val="en-US"/>
              </w:rPr>
              <w:t xml:space="preserve"> </w:t>
            </w:r>
            <w:r>
              <w:rPr>
                <w:rFonts w:hint="eastAsia"/>
                <w:szCs w:val="21"/>
                <w:lang w:val="en-US"/>
              </w:rPr>
              <w:sym w:font="Wingdings 2" w:char="00A3"/>
            </w:r>
            <w:r>
              <w:rPr>
                <w:rFonts w:hint="eastAsia"/>
                <w:lang w:val="en-US"/>
              </w:rPr>
              <w:t>是</w:t>
            </w:r>
          </w:p>
          <w:p>
            <w:pPr>
              <w:pStyle w:val="15"/>
              <w:spacing w:before="91" w:line="263" w:lineRule="exact"/>
              <w:ind w:firstLine="420" w:firstLineChars="200"/>
              <w:rPr>
                <w:rFonts w:hint="eastAsia"/>
              </w:rPr>
            </w:pPr>
            <w:r>
              <w:rPr>
                <w:rFonts w:hint="eastAsia"/>
                <w:szCs w:val="21"/>
                <w:lang w:val="en-US"/>
              </w:rPr>
              <w:t xml:space="preserve"> </w:t>
            </w:r>
            <w:r>
              <w:rPr>
                <w:rFonts w:hint="eastAsia"/>
                <w:szCs w:val="21"/>
                <w:lang w:val="en-US"/>
              </w:rPr>
              <w:sym w:font="Wingdings 2" w:char="0052"/>
            </w:r>
            <w:r>
              <w:rPr>
                <w:rFonts w:hint="eastAsia"/>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959" w:type="dxa"/>
            <w:noWrap w:val="0"/>
            <w:vAlign w:val="center"/>
          </w:tcPr>
          <w:p>
            <w:pPr>
              <w:pStyle w:val="15"/>
              <w:spacing w:before="143"/>
              <w:ind w:left="107" w:right="99"/>
              <w:jc w:val="center"/>
              <w:rPr>
                <w:rFonts w:hint="eastAsia"/>
              </w:rPr>
            </w:pPr>
            <w:r>
              <w:rPr>
                <w:rFonts w:hint="eastAsia"/>
              </w:rPr>
              <w:t>3.2.7</w:t>
            </w:r>
          </w:p>
        </w:tc>
        <w:tc>
          <w:tcPr>
            <w:tcW w:w="1726" w:type="dxa"/>
            <w:noWrap w:val="0"/>
            <w:vAlign w:val="center"/>
          </w:tcPr>
          <w:p>
            <w:pPr>
              <w:pStyle w:val="15"/>
              <w:spacing w:before="77"/>
              <w:ind w:left="107" w:right="99"/>
              <w:jc w:val="center"/>
              <w:rPr>
                <w:rFonts w:hint="eastAsia"/>
              </w:rPr>
            </w:pPr>
            <w:r>
              <w:rPr>
                <w:rFonts w:hint="eastAsia"/>
              </w:rPr>
              <w:t>价格调整</w:t>
            </w:r>
          </w:p>
        </w:tc>
        <w:tc>
          <w:tcPr>
            <w:tcW w:w="6606" w:type="dxa"/>
            <w:noWrap w:val="0"/>
            <w:vAlign w:val="center"/>
          </w:tcPr>
          <w:p>
            <w:pPr>
              <w:pStyle w:val="15"/>
              <w:tabs>
                <w:tab w:val="left" w:pos="275"/>
              </w:tabs>
              <w:spacing w:before="143"/>
              <w:ind w:firstLine="630" w:firstLineChars="300"/>
              <w:rPr>
                <w:rFonts w:hint="eastAsia"/>
              </w:rPr>
            </w:pPr>
            <w:r>
              <w:rPr>
                <w:rFonts w:hint="eastAsia"/>
                <w:szCs w:val="21"/>
                <w:lang w:val="en-US"/>
              </w:rPr>
              <w:sym w:font="Wingdings 2" w:char="00A3"/>
            </w:r>
            <w:r>
              <w:rPr>
                <w:rFonts w:hint="eastAsia"/>
              </w:rPr>
              <w:t>接受</w:t>
            </w:r>
          </w:p>
          <w:p>
            <w:pPr>
              <w:pStyle w:val="15"/>
              <w:spacing w:before="143"/>
              <w:ind w:firstLine="420" w:firstLineChars="200"/>
              <w:rPr>
                <w:rFonts w:hint="eastAsia"/>
              </w:rPr>
            </w:pPr>
            <w:r>
              <w:rPr>
                <w:rFonts w:hint="eastAsia"/>
                <w:szCs w:val="21"/>
                <w:lang w:val="en-US"/>
              </w:rPr>
              <w:t xml:space="preserve">  </w:t>
            </w:r>
            <w:r>
              <w:rPr>
                <w:rFonts w:hint="eastAsia"/>
                <w:szCs w:val="21"/>
                <w:lang w:val="en-US"/>
              </w:rPr>
              <w:sym w:font="Wingdings 2" w:char="0052"/>
            </w:r>
            <w:r>
              <w:rPr>
                <w:rFonts w:hint="eastAsi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959" w:type="dxa"/>
            <w:noWrap w:val="0"/>
            <w:vAlign w:val="center"/>
          </w:tcPr>
          <w:p>
            <w:pPr>
              <w:pStyle w:val="15"/>
              <w:jc w:val="center"/>
              <w:rPr>
                <w:rFonts w:hint="eastAsia"/>
              </w:rPr>
            </w:pPr>
            <w:r>
              <w:rPr>
                <w:rFonts w:hint="eastAsia"/>
              </w:rPr>
              <w:t>3.2.8</w:t>
            </w:r>
          </w:p>
        </w:tc>
        <w:tc>
          <w:tcPr>
            <w:tcW w:w="1726" w:type="dxa"/>
            <w:noWrap w:val="0"/>
            <w:vAlign w:val="center"/>
          </w:tcPr>
          <w:p>
            <w:pPr>
              <w:pStyle w:val="15"/>
              <w:spacing w:before="77"/>
              <w:ind w:left="107" w:right="99"/>
              <w:jc w:val="center"/>
              <w:rPr>
                <w:rFonts w:hint="eastAsia"/>
              </w:rPr>
            </w:pPr>
            <w:r>
              <w:rPr>
                <w:rFonts w:hint="eastAsia"/>
              </w:rPr>
              <w:t>最高投标限价</w:t>
            </w:r>
          </w:p>
        </w:tc>
        <w:tc>
          <w:tcPr>
            <w:tcW w:w="6606" w:type="dxa"/>
            <w:noWrap w:val="0"/>
            <w:vAlign w:val="center"/>
          </w:tcPr>
          <w:p>
            <w:pPr>
              <w:pStyle w:val="15"/>
              <w:ind w:firstLine="420" w:firstLineChars="200"/>
              <w:rPr>
                <w:rFonts w:hint="eastAsia"/>
              </w:rPr>
            </w:pPr>
            <w:r>
              <w:rPr>
                <w:rFonts w:hint="eastAsia"/>
                <w:lang w:val="en-US"/>
              </w:rPr>
              <w:t xml:space="preserve"> </w:t>
            </w:r>
            <w:r>
              <w:rPr>
                <w:rFonts w:hint="eastAsia"/>
                <w:szCs w:val="21"/>
                <w:lang w:val="en-US"/>
              </w:rPr>
              <w:sym w:font="Wingdings 2" w:char="00A3"/>
            </w:r>
            <w:r>
              <w:rPr>
                <w:rFonts w:hint="eastAsia"/>
                <w:lang w:val="en-US"/>
              </w:rPr>
              <w:t>无</w:t>
            </w:r>
          </w:p>
          <w:p>
            <w:pPr>
              <w:pStyle w:val="15"/>
              <w:spacing w:before="91" w:line="263" w:lineRule="exact"/>
              <w:ind w:firstLine="420" w:firstLineChars="200"/>
              <w:rPr>
                <w:rFonts w:hint="eastAsia"/>
                <w:u w:val="single"/>
                <w:lang w:val="en-US"/>
              </w:rPr>
            </w:pPr>
            <w:r>
              <w:rPr>
                <w:rFonts w:hint="eastAsia"/>
                <w:lang w:val="en-US"/>
              </w:rPr>
              <w:t xml:space="preserve"> </w:t>
            </w:r>
            <w:r>
              <w:rPr>
                <w:rFonts w:hint="eastAsia"/>
                <w:szCs w:val="21"/>
                <w:lang w:val="en-US"/>
              </w:rPr>
              <w:sym w:font="Wingdings 2" w:char="0052"/>
            </w:r>
            <w:r>
              <w:rPr>
                <w:rFonts w:hint="eastAsia"/>
                <w:lang w:val="en-US"/>
              </w:rPr>
              <w:t>有</w:t>
            </w:r>
          </w:p>
          <w:p>
            <w:pPr>
              <w:spacing w:line="360" w:lineRule="auto"/>
              <w:ind w:firstLine="367" w:firstLineChars="175"/>
              <w:rPr>
                <w:rFonts w:hint="eastAsia" w:ascii="宋体" w:hAnsi="宋体" w:cs="宋体"/>
              </w:rPr>
            </w:pPr>
            <w:r>
              <w:rPr>
                <w:rFonts w:hint="eastAsia" w:ascii="宋体" w:hAnsi="宋体" w:cs="宋体"/>
                <w:u w:val="single"/>
              </w:rPr>
              <w:t>公布的最高投标限价作为投标人投标报价的控制上限。投标报价超过最高投标限价的，其投标将被否决。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spacing w:before="1"/>
              <w:ind w:left="107" w:right="158" w:rightChars="75"/>
              <w:jc w:val="center"/>
              <w:rPr>
                <w:rFonts w:hint="eastAsia"/>
              </w:rPr>
            </w:pPr>
            <w:r>
              <w:rPr>
                <w:rFonts w:hint="eastAsia"/>
              </w:rPr>
              <w:t>3.2.9</w:t>
            </w:r>
          </w:p>
        </w:tc>
        <w:tc>
          <w:tcPr>
            <w:tcW w:w="1726" w:type="dxa"/>
            <w:noWrap w:val="0"/>
            <w:vAlign w:val="center"/>
          </w:tcPr>
          <w:p>
            <w:pPr>
              <w:pStyle w:val="15"/>
              <w:spacing w:before="77"/>
              <w:ind w:left="107" w:right="99"/>
              <w:jc w:val="center"/>
              <w:rPr>
                <w:rFonts w:hint="eastAsia"/>
              </w:rPr>
            </w:pPr>
            <w:r>
              <w:rPr>
                <w:rFonts w:hint="eastAsia"/>
              </w:rPr>
              <w:t>投标报价的其他要求</w:t>
            </w:r>
          </w:p>
        </w:tc>
        <w:tc>
          <w:tcPr>
            <w:tcW w:w="6606" w:type="dxa"/>
            <w:noWrap w:val="0"/>
            <w:vAlign w:val="center"/>
          </w:tcPr>
          <w:p>
            <w:pPr>
              <w:pStyle w:val="15"/>
              <w:spacing w:before="91" w:line="360" w:lineRule="auto"/>
              <w:rPr>
                <w:rFonts w:hint="eastAsia"/>
              </w:rPr>
            </w:pPr>
            <w:r>
              <w:rPr>
                <w:rFonts w:hint="eastAsia"/>
                <w:lang w:val="en-US"/>
              </w:rPr>
              <w:t>1、</w:t>
            </w:r>
            <w:r>
              <w:rPr>
                <w:rFonts w:hint="eastAsia"/>
              </w:rPr>
              <w:t>报价唯一：只能有一个有效报价。即：</w:t>
            </w:r>
          </w:p>
          <w:p>
            <w:pPr>
              <w:spacing w:line="360" w:lineRule="auto"/>
              <w:ind w:firstLine="367" w:firstLineChars="175"/>
              <w:rPr>
                <w:rFonts w:hint="eastAsia" w:ascii="宋体" w:hAnsi="宋体" w:cs="宋体"/>
              </w:rPr>
            </w:pPr>
            <w:r>
              <w:rPr>
                <w:rFonts w:hint="eastAsia" w:ascii="宋体" w:hAnsi="宋体" w:cs="宋体"/>
              </w:rPr>
              <w:t>（1）单价和总价都只允许有一个报价，任何有选择和保留的报价将不予接受。</w:t>
            </w:r>
          </w:p>
          <w:p>
            <w:pPr>
              <w:spacing w:line="360" w:lineRule="auto"/>
              <w:ind w:firstLine="367" w:firstLineChars="175"/>
              <w:rPr>
                <w:rFonts w:hint="eastAsia" w:ascii="宋体" w:hAnsi="宋体" w:cs="宋体"/>
              </w:rPr>
            </w:pPr>
            <w:r>
              <w:rPr>
                <w:rFonts w:hint="eastAsia" w:ascii="宋体" w:hAnsi="宋体" w:cs="宋体"/>
              </w:rPr>
              <w:t>（2）开标记录表中记录的投标报价、投标文件中投标函的投标总报价（大写）和报价汇总表中的总价金额，三者应完全一致（按要求小数点后四舍五入保留整数，精确到元）。</w:t>
            </w:r>
          </w:p>
          <w:p>
            <w:pPr>
              <w:spacing w:line="360" w:lineRule="auto"/>
              <w:ind w:firstLine="367" w:firstLineChars="175"/>
              <w:rPr>
                <w:rFonts w:hint="eastAsia" w:ascii="宋体" w:hAnsi="宋体" w:cs="宋体"/>
                <w:szCs w:val="21"/>
              </w:rPr>
            </w:pPr>
            <w:r>
              <w:rPr>
                <w:rFonts w:hint="eastAsia" w:ascii="宋体" w:hAnsi="宋体" w:cs="宋体"/>
              </w:rPr>
              <w:t>（3）</w:t>
            </w:r>
            <w:r>
              <w:rPr>
                <w:rFonts w:hint="eastAsia" w:ascii="宋体" w:hAnsi="宋体" w:cs="宋体"/>
                <w:szCs w:val="21"/>
              </w:rPr>
              <w:t>当单价与数量相乘不等于合价时，以单价计算为准，如果单价有明显的小数点位置差错，应以标出的合价为准，同时对单价予以修正。</w:t>
            </w:r>
          </w:p>
          <w:p>
            <w:pPr>
              <w:spacing w:line="360" w:lineRule="auto"/>
              <w:rPr>
                <w:rFonts w:hint="eastAsia" w:ascii="宋体" w:hAnsi="宋体" w:cs="宋体"/>
                <w:szCs w:val="21"/>
              </w:rPr>
            </w:pPr>
            <w:r>
              <w:rPr>
                <w:rFonts w:hint="eastAsia" w:ascii="宋体" w:hAnsi="宋体" w:cs="宋体"/>
                <w:szCs w:val="21"/>
              </w:rPr>
              <w:t>（4）当各子目的合价累计不等于总价时，应以各子目合价累计数为准，修正总价。</w:t>
            </w:r>
          </w:p>
          <w:p>
            <w:pPr>
              <w:spacing w:line="360" w:lineRule="auto"/>
              <w:rPr>
                <w:rFonts w:hint="eastAsia" w:ascii="宋体" w:hAnsi="宋体" w:cs="宋体"/>
                <w:szCs w:val="21"/>
              </w:rPr>
            </w:pPr>
            <w:r>
              <w:rPr>
                <w:rFonts w:hint="eastAsia" w:ascii="宋体" w:hAnsi="宋体" w:cs="宋体"/>
              </w:rPr>
              <w:t>（5）</w:t>
            </w:r>
            <w:r>
              <w:rPr>
                <w:rFonts w:hint="eastAsia" w:ascii="宋体" w:hAnsi="宋体" w:cs="宋体"/>
                <w:szCs w:val="21"/>
              </w:rPr>
              <w:t>投标文件中的大写金额与小写金额不一致的，以大写金额为准。</w:t>
            </w:r>
          </w:p>
          <w:p>
            <w:pPr>
              <w:spacing w:line="360" w:lineRule="auto"/>
              <w:rPr>
                <w:rFonts w:hint="eastAsia" w:ascii="宋体" w:hAnsi="宋体" w:cs="宋体"/>
                <w:b/>
                <w:bCs/>
                <w:u w:val="single"/>
              </w:rPr>
            </w:pPr>
            <w:r>
              <w:rPr>
                <w:rFonts w:hint="eastAsia" w:ascii="宋体" w:hAnsi="宋体" w:cs="宋体"/>
                <w:b/>
                <w:bCs/>
                <w:szCs w:val="21"/>
                <w:u w:val="single"/>
              </w:rPr>
              <w:t>2、投标单价不得超过清单各项招标控制单价，且也不得低于清单各项招标控制单价的90%，否则投标将被否决。</w:t>
            </w:r>
          </w:p>
          <w:p>
            <w:pPr>
              <w:spacing w:line="360" w:lineRule="auto"/>
              <w:jc w:val="left"/>
              <w:rPr>
                <w:rFonts w:hint="eastAsia" w:ascii="宋体" w:hAnsi="宋体" w:cs="宋体"/>
              </w:rPr>
            </w:pPr>
            <w:r>
              <w:rPr>
                <w:rFonts w:hint="eastAsia" w:ascii="宋体" w:hAnsi="宋体" w:cs="宋体"/>
                <w:szCs w:val="21"/>
              </w:rPr>
              <w:t>3、招标工程量清单不得修改，投标人未填入报价的清单项目，视为其已综合包含在其他清单项目中。中标后，即使招标人要求该项工程量增加，投标人亦不得拒绝该清单项的施工。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3.3.1</w:t>
            </w:r>
          </w:p>
        </w:tc>
        <w:tc>
          <w:tcPr>
            <w:tcW w:w="1726" w:type="dxa"/>
            <w:noWrap w:val="0"/>
            <w:vAlign w:val="center"/>
          </w:tcPr>
          <w:p>
            <w:pPr>
              <w:pStyle w:val="15"/>
              <w:spacing w:before="143"/>
              <w:jc w:val="center"/>
              <w:rPr>
                <w:rFonts w:hint="eastAsia"/>
              </w:rPr>
            </w:pPr>
            <w:r>
              <w:rPr>
                <w:rFonts w:hint="eastAsia"/>
              </w:rPr>
              <w:t>投标有效期</w:t>
            </w:r>
          </w:p>
        </w:tc>
        <w:tc>
          <w:tcPr>
            <w:tcW w:w="6606" w:type="dxa"/>
            <w:noWrap w:val="0"/>
            <w:vAlign w:val="center"/>
          </w:tcPr>
          <w:p>
            <w:pPr>
              <w:pStyle w:val="15"/>
              <w:spacing w:before="143"/>
              <w:jc w:val="left"/>
              <w:rPr>
                <w:rFonts w:hint="eastAsia"/>
              </w:rPr>
            </w:pPr>
            <w:r>
              <w:rPr>
                <w:rFonts w:hint="eastAsia"/>
              </w:rPr>
              <w:t>自递交投标文件截止之日起60天。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3.4.1</w:t>
            </w:r>
          </w:p>
        </w:tc>
        <w:tc>
          <w:tcPr>
            <w:tcW w:w="1726" w:type="dxa"/>
            <w:noWrap w:val="0"/>
            <w:vAlign w:val="center"/>
          </w:tcPr>
          <w:p>
            <w:pPr>
              <w:pStyle w:val="15"/>
              <w:spacing w:before="143"/>
              <w:jc w:val="center"/>
              <w:rPr>
                <w:rFonts w:hint="eastAsia"/>
              </w:rPr>
            </w:pPr>
            <w:r>
              <w:rPr>
                <w:rFonts w:hint="eastAsia"/>
              </w:rPr>
              <w:t>投标保证金</w:t>
            </w:r>
          </w:p>
        </w:tc>
        <w:tc>
          <w:tcPr>
            <w:tcW w:w="6606" w:type="dxa"/>
            <w:noWrap w:val="0"/>
            <w:vAlign w:val="center"/>
          </w:tcPr>
          <w:p>
            <w:pPr>
              <w:pStyle w:val="14"/>
              <w:spacing w:line="360" w:lineRule="auto"/>
              <w:jc w:val="both"/>
              <w:rPr>
                <w:rFonts w:hint="eastAsia" w:ascii="宋体" w:hAnsi="宋体"/>
              </w:rPr>
            </w:pPr>
            <w:r>
              <w:rPr>
                <w:rFonts w:hint="eastAsia" w:ascii="宋体" w:hAnsi="宋体"/>
              </w:rPr>
              <w:t>1、投标人在递交投标文件截止日之前，应按招标公告的规定使用基本账户向招标人的指定银行账户提交人民币</w:t>
            </w:r>
            <w:r>
              <w:rPr>
                <w:rFonts w:ascii="宋体" w:hAnsi="宋体"/>
              </w:rPr>
              <w:t>2</w:t>
            </w:r>
            <w:r>
              <w:rPr>
                <w:rFonts w:hint="eastAsia" w:ascii="宋体" w:hAnsi="宋体"/>
              </w:rPr>
              <w:t>万元的投标保证金。</w:t>
            </w:r>
          </w:p>
          <w:p>
            <w:pPr>
              <w:pStyle w:val="14"/>
              <w:spacing w:line="360" w:lineRule="auto"/>
              <w:jc w:val="both"/>
              <w:rPr>
                <w:rFonts w:hint="eastAsia" w:ascii="宋体" w:hAnsi="宋体"/>
              </w:rPr>
            </w:pPr>
            <w:r>
              <w:rPr>
                <w:rFonts w:hint="eastAsia" w:ascii="宋体" w:hAnsi="宋体"/>
              </w:rPr>
              <w:t>注：无论投标人投几个分段，投标人只需缴纳一次投标保证金。</w:t>
            </w:r>
          </w:p>
          <w:p>
            <w:pPr>
              <w:pStyle w:val="14"/>
              <w:spacing w:line="360" w:lineRule="auto"/>
              <w:jc w:val="both"/>
              <w:rPr>
                <w:rFonts w:hint="eastAsia" w:ascii="宋体" w:hAnsi="宋体"/>
              </w:rPr>
            </w:pPr>
            <w:r>
              <w:rPr>
                <w:rFonts w:hint="eastAsia" w:ascii="宋体" w:hAnsi="宋体"/>
              </w:rPr>
              <w:t>2、投标保证金账户：</w:t>
            </w:r>
          </w:p>
          <w:p>
            <w:pPr>
              <w:pStyle w:val="14"/>
              <w:spacing w:line="360" w:lineRule="auto"/>
              <w:jc w:val="both"/>
              <w:rPr>
                <w:rFonts w:hint="eastAsia" w:ascii="宋体" w:hAnsi="宋体"/>
              </w:rPr>
            </w:pPr>
            <w:r>
              <w:rPr>
                <w:rFonts w:hint="eastAsia" w:ascii="宋体" w:hAnsi="宋体"/>
              </w:rPr>
              <w:t>开户名称：四川省交通建设集团股份有限公司南充至成都高速公路扩容工程LJ4-1标项目经理分部</w:t>
            </w:r>
          </w:p>
          <w:p>
            <w:pPr>
              <w:pStyle w:val="14"/>
              <w:spacing w:line="360" w:lineRule="auto"/>
              <w:jc w:val="both"/>
              <w:rPr>
                <w:rFonts w:hint="eastAsia" w:ascii="宋体" w:hAnsi="宋体"/>
              </w:rPr>
            </w:pPr>
            <w:r>
              <w:rPr>
                <w:rFonts w:hint="eastAsia" w:ascii="宋体" w:hAnsi="宋体"/>
              </w:rPr>
              <w:t>开户行：中国建设银行股份有限公司南充石油南路支行</w:t>
            </w:r>
          </w:p>
          <w:p>
            <w:pPr>
              <w:tabs>
                <w:tab w:val="left" w:pos="3480"/>
                <w:tab w:val="left" w:pos="4520"/>
                <w:tab w:val="left" w:pos="5560"/>
              </w:tabs>
              <w:autoSpaceDE w:val="0"/>
              <w:autoSpaceDN w:val="0"/>
              <w:adjustRightInd w:val="0"/>
              <w:spacing w:line="360" w:lineRule="auto"/>
              <w:jc w:val="left"/>
              <w:rPr>
                <w:rFonts w:hint="eastAsia" w:ascii="宋体" w:hAnsi="宋体" w:cs="宋体"/>
              </w:rPr>
            </w:pPr>
            <w:r>
              <w:rPr>
                <w:rFonts w:hint="eastAsia" w:ascii="宋体" w:hAnsi="宋体" w:cs="宋体"/>
              </w:rPr>
              <w:t>银行账号：51050173863700000692</w:t>
            </w:r>
          </w:p>
          <w:p>
            <w:pPr>
              <w:tabs>
                <w:tab w:val="left" w:pos="3480"/>
                <w:tab w:val="left" w:pos="4520"/>
                <w:tab w:val="left" w:pos="5560"/>
              </w:tabs>
              <w:autoSpaceDE w:val="0"/>
              <w:autoSpaceDN w:val="0"/>
              <w:adjustRightInd w:val="0"/>
              <w:spacing w:line="360" w:lineRule="auto"/>
              <w:jc w:val="left"/>
              <w:rPr>
                <w:rFonts w:hint="eastAsia" w:ascii="宋体" w:hAnsi="宋体" w:cs="宋体"/>
              </w:rPr>
            </w:pPr>
            <w:r>
              <w:rPr>
                <w:rFonts w:hint="eastAsia" w:ascii="宋体" w:hAnsi="宋体" w:cs="宋体"/>
              </w:rPr>
              <w:t>(转账时备注</w:t>
            </w:r>
            <w:r>
              <w:rPr>
                <w:rFonts w:hint="eastAsia" w:ascii="宋体" w:hAnsi="宋体" w:cs="宋体"/>
                <w:kern w:val="0"/>
                <w:szCs w:val="21"/>
              </w:rPr>
              <w:t>“成南LJ4-1上边坡防护（锚杆边坡加固））合作</w:t>
            </w:r>
            <w:r>
              <w:rPr>
                <w:rFonts w:hint="eastAsia" w:ascii="宋体" w:hAnsi="宋体" w:cs="宋体"/>
              </w:rPr>
              <w:t>投标保证金”)</w:t>
            </w:r>
          </w:p>
          <w:p>
            <w:pPr>
              <w:pStyle w:val="14"/>
              <w:spacing w:line="360" w:lineRule="auto"/>
              <w:jc w:val="both"/>
              <w:rPr>
                <w:rFonts w:hint="eastAsia" w:ascii="宋体" w:hAnsi="宋体"/>
              </w:rPr>
            </w:pPr>
            <w:r>
              <w:rPr>
                <w:rFonts w:hint="eastAsia" w:ascii="宋体" w:hAnsi="宋体" w:cs="Times New Roman"/>
                <w:kern w:val="2"/>
              </w:rPr>
              <w:t>3、</w:t>
            </w:r>
            <w:r>
              <w:rPr>
                <w:rFonts w:hint="eastAsia" w:hAnsi="宋体"/>
              </w:rPr>
              <w:t>投标保证金的提交：转款凭证原件或复印件统一应装订在投标文件正本之中。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3.4.2</w:t>
            </w:r>
          </w:p>
        </w:tc>
        <w:tc>
          <w:tcPr>
            <w:tcW w:w="1726" w:type="dxa"/>
            <w:noWrap w:val="0"/>
            <w:vAlign w:val="center"/>
          </w:tcPr>
          <w:p>
            <w:pPr>
              <w:pStyle w:val="15"/>
              <w:spacing w:before="143"/>
              <w:jc w:val="center"/>
              <w:rPr>
                <w:rFonts w:hint="eastAsia"/>
              </w:rPr>
            </w:pPr>
            <w:r>
              <w:rPr>
                <w:rFonts w:hint="eastAsia"/>
              </w:rPr>
              <w:t>投标保证金</w:t>
            </w:r>
          </w:p>
          <w:p>
            <w:pPr>
              <w:pStyle w:val="15"/>
              <w:spacing w:before="143"/>
              <w:jc w:val="center"/>
              <w:rPr>
                <w:rFonts w:hint="eastAsia"/>
              </w:rPr>
            </w:pPr>
            <w:r>
              <w:rPr>
                <w:rFonts w:hint="eastAsia"/>
              </w:rPr>
              <w:t>的退还</w:t>
            </w:r>
          </w:p>
        </w:tc>
        <w:tc>
          <w:tcPr>
            <w:tcW w:w="6606" w:type="dxa"/>
            <w:noWrap w:val="0"/>
            <w:vAlign w:val="center"/>
          </w:tcPr>
          <w:p>
            <w:pPr>
              <w:adjustRightInd w:val="0"/>
              <w:snapToGrid w:val="0"/>
              <w:spacing w:line="360" w:lineRule="auto"/>
              <w:rPr>
                <w:rFonts w:hint="eastAsia" w:ascii="宋体" w:hAnsi="宋体" w:cs="宋体"/>
                <w:szCs w:val="21"/>
              </w:rPr>
            </w:pPr>
            <w:r>
              <w:rPr>
                <w:rFonts w:hint="eastAsia" w:ascii="宋体" w:hAnsi="宋体" w:cs="宋体"/>
                <w:szCs w:val="21"/>
              </w:rPr>
              <w:t>本项细化为：</w:t>
            </w:r>
          </w:p>
          <w:p>
            <w:pPr>
              <w:pStyle w:val="7"/>
              <w:numPr>
                <w:ilvl w:val="0"/>
                <w:numId w:val="3"/>
              </w:numPr>
              <w:adjustRightInd w:val="0"/>
              <w:snapToGrid w:val="0"/>
              <w:spacing w:line="360" w:lineRule="auto"/>
              <w:jc w:val="left"/>
              <w:rPr>
                <w:rFonts w:hint="eastAsia" w:hAnsi="宋体" w:cs="宋体"/>
              </w:rPr>
            </w:pPr>
            <w:r>
              <w:rPr>
                <w:rFonts w:hint="eastAsia" w:hAnsi="宋体" w:cs="宋体"/>
              </w:rPr>
              <w:t>退还时间：招标人最迟将在中标通知书发出后5日内向中标候选人以外的其他投标人退还投标保证金，与中标人签订书面合同后5日内向中标人和其他中标候选人退还投标保证金；</w:t>
            </w:r>
          </w:p>
          <w:p>
            <w:pPr>
              <w:pStyle w:val="7"/>
              <w:adjustRightInd w:val="0"/>
              <w:snapToGrid w:val="0"/>
              <w:spacing w:line="360" w:lineRule="auto"/>
              <w:ind w:left="210"/>
              <w:jc w:val="left"/>
              <w:rPr>
                <w:rFonts w:hint="eastAsia" w:hAnsi="宋体" w:cs="宋体"/>
              </w:rPr>
            </w:pPr>
            <w:r>
              <w:rPr>
                <w:rFonts w:hint="eastAsia" w:hAnsi="宋体" w:cs="宋体"/>
              </w:rPr>
              <w:t>投标人在投标截止时间前撤回投标文件但已递交投标保证金的，招标人将自收到投标人书面撤回通知之日起5日内退还其投标保证金。</w:t>
            </w:r>
          </w:p>
          <w:p>
            <w:pPr>
              <w:pStyle w:val="7"/>
              <w:adjustRightInd w:val="0"/>
              <w:snapToGrid w:val="0"/>
              <w:spacing w:line="360" w:lineRule="auto"/>
              <w:ind w:left="210"/>
              <w:jc w:val="left"/>
              <w:rPr>
                <w:rFonts w:hint="eastAsia" w:hAnsi="宋体" w:cs="宋体"/>
                <w:b/>
                <w:bCs/>
              </w:rPr>
            </w:pPr>
            <w:r>
              <w:rPr>
                <w:rFonts w:hint="eastAsia" w:hAnsi="宋体" w:cs="宋体"/>
              </w:rPr>
              <w:t>（2）退还方式：投标保证金由投标人法定代表人或其委托代理人本人凭身份证原件、银行转账回执单、营业执照复印件、开户行信息复印件、经办人身份证复印件（全部盖鲜章），收据（盖财务专用章）在招标人处办理。</w:t>
            </w:r>
          </w:p>
          <w:p>
            <w:pPr>
              <w:pStyle w:val="7"/>
              <w:adjustRightInd w:val="0"/>
              <w:snapToGrid w:val="0"/>
              <w:spacing w:line="360" w:lineRule="auto"/>
              <w:ind w:left="210"/>
              <w:jc w:val="left"/>
              <w:rPr>
                <w:rFonts w:hint="eastAsia" w:hAnsi="宋体" w:cs="宋体"/>
                <w:b/>
                <w:bCs/>
              </w:rPr>
            </w:pPr>
            <w:r>
              <w:rPr>
                <w:rFonts w:hint="eastAsia" w:hAnsi="宋体" w:cs="宋体"/>
              </w:rPr>
              <w:t>（3）退还地址：四川省南充市高坪区都京街道都京港务大楼四川交建南充至成都高速公路扩容工程LJ4-1标项目经理部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959" w:type="dxa"/>
            <w:noWrap w:val="0"/>
            <w:vAlign w:val="center"/>
          </w:tcPr>
          <w:p>
            <w:pPr>
              <w:pStyle w:val="15"/>
              <w:ind w:right="206"/>
              <w:jc w:val="right"/>
              <w:rPr>
                <w:rFonts w:hint="eastAsia"/>
              </w:rPr>
            </w:pPr>
            <w:r>
              <w:rPr>
                <w:rFonts w:hint="eastAsia"/>
              </w:rPr>
              <w:t>3.4.3</w:t>
            </w:r>
          </w:p>
        </w:tc>
        <w:tc>
          <w:tcPr>
            <w:tcW w:w="1726" w:type="dxa"/>
            <w:noWrap w:val="0"/>
            <w:vAlign w:val="center"/>
          </w:tcPr>
          <w:p>
            <w:pPr>
              <w:pStyle w:val="15"/>
              <w:spacing w:before="143"/>
              <w:jc w:val="center"/>
              <w:rPr>
                <w:rFonts w:hint="eastAsia"/>
              </w:rPr>
            </w:pPr>
            <w:r>
              <w:rPr>
                <w:rFonts w:hint="eastAsia"/>
              </w:rPr>
              <w:t>投标保证金的利</w:t>
            </w:r>
          </w:p>
          <w:p>
            <w:pPr>
              <w:pStyle w:val="15"/>
              <w:spacing w:before="143"/>
              <w:jc w:val="center"/>
              <w:rPr>
                <w:rFonts w:hint="eastAsia"/>
              </w:rPr>
            </w:pPr>
            <w:r>
              <w:rPr>
                <w:rFonts w:hint="eastAsia"/>
              </w:rPr>
              <w:t>息计算原则</w:t>
            </w:r>
          </w:p>
        </w:tc>
        <w:tc>
          <w:tcPr>
            <w:tcW w:w="6606" w:type="dxa"/>
            <w:noWrap w:val="0"/>
            <w:vAlign w:val="center"/>
          </w:tcPr>
          <w:p>
            <w:pPr>
              <w:pStyle w:val="15"/>
              <w:ind w:left="107"/>
              <w:rPr>
                <w:rFonts w:hint="eastAsia"/>
              </w:rPr>
            </w:pPr>
            <w:r>
              <w:rPr>
                <w:rFonts w:hint="eastAsia"/>
              </w:rPr>
              <w:t>不计息。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3.4.4</w:t>
            </w:r>
          </w:p>
        </w:tc>
        <w:tc>
          <w:tcPr>
            <w:tcW w:w="1726" w:type="dxa"/>
            <w:noWrap w:val="0"/>
            <w:vAlign w:val="center"/>
          </w:tcPr>
          <w:p>
            <w:pPr>
              <w:pStyle w:val="7"/>
              <w:adjustRightInd w:val="0"/>
              <w:spacing w:line="360" w:lineRule="auto"/>
              <w:jc w:val="center"/>
              <w:rPr>
                <w:rFonts w:hint="eastAsia" w:hAnsi="宋体" w:cs="宋体"/>
                <w:szCs w:val="22"/>
                <w:lang w:val="zh-CN" w:bidi="zh-CN"/>
              </w:rPr>
            </w:pPr>
            <w:r>
              <w:rPr>
                <w:rFonts w:hint="eastAsia" w:hAnsi="宋体" w:cs="Courier New"/>
              </w:rPr>
              <w:t>投标保证金不予退还的情形</w:t>
            </w:r>
          </w:p>
        </w:tc>
        <w:tc>
          <w:tcPr>
            <w:tcW w:w="6606" w:type="dxa"/>
            <w:noWrap w:val="0"/>
            <w:vAlign w:val="center"/>
          </w:tcPr>
          <w:p>
            <w:pPr>
              <w:pStyle w:val="7"/>
              <w:adjustRightInd w:val="0"/>
              <w:snapToGrid w:val="0"/>
              <w:spacing w:line="360" w:lineRule="auto"/>
              <w:rPr>
                <w:rFonts w:hAnsi="宋体" w:cs="Courier New"/>
              </w:rPr>
            </w:pPr>
            <w:r>
              <w:rPr>
                <w:rFonts w:hAnsi="宋体" w:cs="Courier New"/>
              </w:rPr>
              <w:t>有下列情形之一的，投标保证金将不予退还：</w:t>
            </w:r>
          </w:p>
          <w:p>
            <w:pPr>
              <w:pStyle w:val="7"/>
              <w:adjustRightInd w:val="0"/>
              <w:snapToGrid w:val="0"/>
              <w:spacing w:line="360" w:lineRule="auto"/>
              <w:rPr>
                <w:rFonts w:hAnsi="宋体" w:cs="Courier New"/>
              </w:rPr>
            </w:pPr>
            <w:r>
              <w:rPr>
                <w:rFonts w:hint="eastAsia" w:hAnsi="宋体" w:cs="Courier New"/>
              </w:rPr>
              <w:t>（1）投标人提交了虚假资料；</w:t>
            </w:r>
          </w:p>
          <w:p>
            <w:pPr>
              <w:pStyle w:val="7"/>
              <w:adjustRightInd w:val="0"/>
              <w:snapToGrid w:val="0"/>
              <w:spacing w:line="360" w:lineRule="auto"/>
              <w:rPr>
                <w:rFonts w:hAnsi="宋体" w:cs="Courier New"/>
              </w:rPr>
            </w:pPr>
            <w:r>
              <w:rPr>
                <w:rFonts w:hint="eastAsia" w:hAnsi="宋体" w:cs="Courier New"/>
              </w:rPr>
              <w:t>（2）中标人未按招标文件要求在规定的时间内提交足额履约保证金。</w:t>
            </w:r>
          </w:p>
          <w:p>
            <w:pPr>
              <w:pStyle w:val="7"/>
              <w:adjustRightInd w:val="0"/>
              <w:snapToGrid w:val="0"/>
              <w:spacing w:line="360" w:lineRule="auto"/>
              <w:rPr>
                <w:rFonts w:hAnsi="宋体" w:cs="Courier New"/>
              </w:rPr>
            </w:pPr>
            <w:r>
              <w:rPr>
                <w:rFonts w:hint="eastAsia" w:hAnsi="宋体" w:cs="Courier New"/>
              </w:rPr>
              <w:t>（3）中标人在收到中标通知书后30日内拒签合同协议书，或在签订合同时向招标人提出招标文件之外的附加条件。</w:t>
            </w:r>
          </w:p>
          <w:p>
            <w:pPr>
              <w:pStyle w:val="7"/>
              <w:adjustRightInd w:val="0"/>
              <w:snapToGrid w:val="0"/>
              <w:spacing w:line="360" w:lineRule="auto"/>
              <w:rPr>
                <w:rFonts w:hAnsi="宋体" w:cs="Courier New"/>
              </w:rPr>
            </w:pPr>
            <w:r>
              <w:rPr>
                <w:rFonts w:hint="eastAsia" w:hAnsi="宋体" w:cs="Courier New"/>
              </w:rPr>
              <w:t>（4）投标人在规定的投标有限期内撤销或修改其投标文件。</w:t>
            </w:r>
          </w:p>
          <w:p>
            <w:pPr>
              <w:pStyle w:val="7"/>
              <w:adjustRightInd w:val="0"/>
              <w:snapToGrid w:val="0"/>
              <w:spacing w:line="360" w:lineRule="auto"/>
              <w:rPr>
                <w:rFonts w:hint="eastAsia" w:hAnsi="宋体" w:cs="宋体"/>
                <w:szCs w:val="22"/>
                <w:lang w:val="zh-CN" w:bidi="zh-CN"/>
              </w:rPr>
            </w:pPr>
            <w:r>
              <w:rPr>
                <w:rFonts w:hint="eastAsia" w:hAnsi="宋体" w:cs="Courier New"/>
              </w:rPr>
              <w:t>（5）投标人在投标活动中有违法、违规及弄虚作假行为的；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3.5.1</w:t>
            </w:r>
          </w:p>
        </w:tc>
        <w:tc>
          <w:tcPr>
            <w:tcW w:w="1726" w:type="dxa"/>
            <w:noWrap w:val="0"/>
            <w:vAlign w:val="top"/>
          </w:tcPr>
          <w:p>
            <w:pPr>
              <w:pStyle w:val="15"/>
              <w:spacing w:before="143"/>
              <w:jc w:val="center"/>
              <w:rPr>
                <w:rFonts w:hint="eastAsia"/>
              </w:rPr>
            </w:pPr>
            <w:r>
              <w:rPr>
                <w:rFonts w:hint="eastAsia"/>
              </w:rPr>
              <w:t>安全员相应要求</w:t>
            </w:r>
          </w:p>
        </w:tc>
        <w:tc>
          <w:tcPr>
            <w:tcW w:w="6606" w:type="dxa"/>
            <w:noWrap w:val="0"/>
            <w:vAlign w:val="top"/>
          </w:tcPr>
          <w:p>
            <w:pPr>
              <w:pStyle w:val="15"/>
              <w:spacing w:before="143"/>
              <w:jc w:val="left"/>
              <w:rPr>
                <w:rFonts w:hint="eastAsia"/>
              </w:rPr>
            </w:pPr>
            <w:r>
              <w:rPr>
                <w:rFonts w:hint="eastAsia"/>
              </w:rPr>
              <w:t>投标人应当配置至少</w:t>
            </w:r>
            <w:r>
              <w:rPr>
                <w:rFonts w:hint="eastAsia"/>
                <w:lang w:val="en-US"/>
              </w:rPr>
              <w:t>1</w:t>
            </w:r>
            <w:r>
              <w:rPr>
                <w:rFonts w:hint="eastAsia"/>
              </w:rPr>
              <w:t>人，并根据所承担的分部分项工程的工程量和施工危险程度增加。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3.7.4</w:t>
            </w:r>
          </w:p>
        </w:tc>
        <w:tc>
          <w:tcPr>
            <w:tcW w:w="1726" w:type="dxa"/>
            <w:noWrap w:val="0"/>
            <w:vAlign w:val="center"/>
          </w:tcPr>
          <w:p>
            <w:pPr>
              <w:pStyle w:val="15"/>
              <w:spacing w:before="143"/>
              <w:jc w:val="center"/>
              <w:rPr>
                <w:rFonts w:hint="eastAsia"/>
              </w:rPr>
            </w:pPr>
            <w:r>
              <w:rPr>
                <w:rFonts w:hint="eastAsia"/>
              </w:rPr>
              <w:t>投标文件份数</w:t>
            </w:r>
          </w:p>
        </w:tc>
        <w:tc>
          <w:tcPr>
            <w:tcW w:w="6606" w:type="dxa"/>
            <w:noWrap w:val="0"/>
            <w:vAlign w:val="center"/>
          </w:tcPr>
          <w:p>
            <w:pPr>
              <w:pStyle w:val="7"/>
              <w:adjustRightInd w:val="0"/>
              <w:spacing w:line="360" w:lineRule="auto"/>
              <w:ind w:firstLine="316" w:firstLineChars="150"/>
              <w:jc w:val="left"/>
              <w:rPr>
                <w:rFonts w:hint="eastAsia" w:hAnsi="宋体" w:cs="宋体"/>
                <w:b/>
                <w:bCs/>
                <w:u w:val="single"/>
              </w:rPr>
            </w:pPr>
            <w:r>
              <w:rPr>
                <w:rFonts w:hint="eastAsia" w:hAnsi="宋体" w:cs="宋体"/>
                <w:b/>
                <w:bCs/>
                <w:kern w:val="0"/>
                <w:u w:val="single"/>
              </w:rPr>
              <w:t>正本1份、副本1份。</w:t>
            </w:r>
            <w:r>
              <w:rPr>
                <w:rFonts w:hint="eastAsia" w:hAnsi="宋体" w:cs="宋体"/>
                <w:b/>
                <w:bCs/>
                <w:u w:val="single"/>
              </w:rPr>
              <w:t>电子文档（U盘）一份（U盘内容包括：正本扫描件1份、word文档版投标文件1份、投标报价固化工程量清单EXCEL文件1份）。</w:t>
            </w:r>
          </w:p>
          <w:p>
            <w:pPr>
              <w:pStyle w:val="7"/>
              <w:adjustRightInd w:val="0"/>
              <w:spacing w:line="360" w:lineRule="auto"/>
              <w:ind w:firstLine="315" w:firstLineChars="150"/>
              <w:jc w:val="left"/>
              <w:rPr>
                <w:rFonts w:hint="eastAsia" w:hAnsi="宋体" w:cs="宋体"/>
                <w:kern w:val="0"/>
                <w:sz w:val="24"/>
                <w:szCs w:val="24"/>
              </w:rPr>
            </w:pPr>
            <w:r>
              <w:rPr>
                <w:rFonts w:hint="eastAsia" w:hAnsi="宋体" w:cs="宋体"/>
                <w:kern w:val="0"/>
              </w:rPr>
              <w:t>当电子文档和正本不一致时，以正本为准，当电子文档或副本与正本内容不一致造成的评标差错由投标人自行承担。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3.7.5</w:t>
            </w:r>
          </w:p>
        </w:tc>
        <w:tc>
          <w:tcPr>
            <w:tcW w:w="1726" w:type="dxa"/>
            <w:noWrap w:val="0"/>
            <w:vAlign w:val="center"/>
          </w:tcPr>
          <w:p>
            <w:pPr>
              <w:pStyle w:val="7"/>
              <w:adjustRightInd w:val="0"/>
              <w:spacing w:line="360" w:lineRule="auto"/>
              <w:jc w:val="center"/>
              <w:rPr>
                <w:rFonts w:hint="eastAsia" w:hAnsi="宋体" w:cs="宋体"/>
              </w:rPr>
            </w:pPr>
            <w:r>
              <w:rPr>
                <w:rFonts w:hint="eastAsia" w:hAnsi="宋体" w:cs="宋体"/>
              </w:rPr>
              <w:t>装订要求</w:t>
            </w:r>
          </w:p>
        </w:tc>
        <w:tc>
          <w:tcPr>
            <w:tcW w:w="6606" w:type="dxa"/>
            <w:noWrap w:val="0"/>
            <w:vAlign w:val="center"/>
          </w:tcPr>
          <w:p>
            <w:pPr>
              <w:pStyle w:val="9"/>
              <w:adjustRightInd w:val="0"/>
              <w:snapToGrid w:val="0"/>
              <w:spacing w:before="0" w:beforeAutospacing="0" w:after="0" w:afterAutospacing="0" w:line="360" w:lineRule="auto"/>
              <w:ind w:firstLine="420" w:firstLineChars="200"/>
              <w:jc w:val="both"/>
              <w:rPr>
                <w:rFonts w:hint="eastAsia"/>
                <w:szCs w:val="24"/>
                <w:lang w:eastAsia="zh-CN"/>
              </w:rPr>
            </w:pPr>
            <w:r>
              <w:rPr>
                <w:rFonts w:hint="eastAsia"/>
                <w:sz w:val="21"/>
                <w:szCs w:val="21"/>
                <w:lang w:eastAsia="zh-CN"/>
              </w:rPr>
              <w:t>投标文件的正本、副本应编制目录、且逐页标注连续编码。投标文件应采用粘贴或装订方式分别装订成册，并标明“正本”、“副本”，不得采用活页夹等可随时拆换的方式装订，否则，由于投标文件页码编制和装订造成的丢失、散落或其它后果概由投标人自行承担。招标文件要求投标文件中附原件的，应一律附于投标文件“正本”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7"/>
              <w:adjustRightInd w:val="0"/>
              <w:spacing w:line="360" w:lineRule="auto"/>
              <w:jc w:val="center"/>
              <w:rPr>
                <w:rFonts w:hint="eastAsia" w:hAnsi="宋体" w:cs="宋体"/>
              </w:rPr>
            </w:pPr>
            <w:r>
              <w:rPr>
                <w:rFonts w:hint="eastAsia" w:hAnsi="宋体" w:cs="宋体"/>
              </w:rPr>
              <w:t>3.7.6</w:t>
            </w:r>
          </w:p>
        </w:tc>
        <w:tc>
          <w:tcPr>
            <w:tcW w:w="1726" w:type="dxa"/>
            <w:noWrap w:val="0"/>
            <w:vAlign w:val="center"/>
          </w:tcPr>
          <w:p>
            <w:pPr>
              <w:pStyle w:val="7"/>
              <w:adjustRightInd w:val="0"/>
              <w:spacing w:line="360" w:lineRule="auto"/>
              <w:jc w:val="center"/>
              <w:rPr>
                <w:rFonts w:hint="eastAsia" w:hAnsi="宋体" w:cs="宋体"/>
              </w:rPr>
            </w:pPr>
            <w:r>
              <w:rPr>
                <w:rFonts w:hint="eastAsia" w:hAnsi="宋体" w:cs="宋体"/>
              </w:rPr>
              <w:t>签字或盖章要求</w:t>
            </w:r>
          </w:p>
        </w:tc>
        <w:tc>
          <w:tcPr>
            <w:tcW w:w="6606" w:type="dxa"/>
            <w:noWrap w:val="0"/>
            <w:vAlign w:val="center"/>
          </w:tcPr>
          <w:p>
            <w:pPr>
              <w:pStyle w:val="9"/>
              <w:adjustRightInd w:val="0"/>
              <w:snapToGrid w:val="0"/>
              <w:spacing w:before="0" w:beforeAutospacing="0" w:after="0" w:afterAutospacing="0" w:line="360" w:lineRule="auto"/>
              <w:ind w:firstLine="315" w:firstLineChars="150"/>
              <w:jc w:val="both"/>
              <w:rPr>
                <w:rFonts w:hint="eastAsia"/>
                <w:b/>
                <w:sz w:val="21"/>
                <w:szCs w:val="21"/>
                <w:lang w:eastAsia="zh-CN"/>
              </w:rPr>
            </w:pPr>
            <w:r>
              <w:rPr>
                <w:rFonts w:hint="eastAsia"/>
                <w:sz w:val="21"/>
                <w:szCs w:val="21"/>
                <w:lang w:eastAsia="zh-CN"/>
              </w:rPr>
              <w:t>（1）单位章内容必须与单位营业执照名称一致。</w:t>
            </w:r>
          </w:p>
          <w:p>
            <w:pPr>
              <w:pStyle w:val="9"/>
              <w:adjustRightInd w:val="0"/>
              <w:snapToGrid w:val="0"/>
              <w:spacing w:before="0" w:beforeAutospacing="0" w:after="0" w:afterAutospacing="0" w:line="360" w:lineRule="auto"/>
              <w:ind w:firstLine="315" w:firstLineChars="150"/>
              <w:jc w:val="both"/>
              <w:rPr>
                <w:rFonts w:hint="eastAsia"/>
                <w:sz w:val="21"/>
                <w:szCs w:val="21"/>
                <w:lang w:eastAsia="zh-CN"/>
              </w:rPr>
            </w:pPr>
            <w:r>
              <w:rPr>
                <w:rFonts w:hint="eastAsia"/>
                <w:sz w:val="21"/>
                <w:szCs w:val="21"/>
                <w:lang w:eastAsia="zh-CN"/>
              </w:rPr>
              <w:t>（2）法定代表人或授权的代理人必须在投标文件格式上所有要求签署的地方亲自签署，并不得用印章、签名章或电子制版章代替。</w:t>
            </w:r>
          </w:p>
          <w:p>
            <w:pPr>
              <w:pStyle w:val="9"/>
              <w:adjustRightInd w:val="0"/>
              <w:snapToGrid w:val="0"/>
              <w:spacing w:before="0" w:beforeAutospacing="0" w:after="0" w:afterAutospacing="0" w:line="360" w:lineRule="auto"/>
              <w:jc w:val="both"/>
              <w:rPr>
                <w:rFonts w:hint="eastAsia"/>
                <w:sz w:val="21"/>
                <w:szCs w:val="21"/>
                <w:lang w:eastAsia="zh-CN"/>
              </w:rPr>
            </w:pPr>
            <w:r>
              <w:rPr>
                <w:rFonts w:hint="eastAsia"/>
                <w:sz w:val="21"/>
                <w:szCs w:val="21"/>
                <w:lang w:eastAsia="zh-CN"/>
              </w:rPr>
              <w:t>（3）投标文件格式上所有要求盖章的地方都须加盖投标人单位章（法定名称），不得使用专用印章。</w:t>
            </w:r>
          </w:p>
          <w:p>
            <w:pPr>
              <w:pStyle w:val="9"/>
              <w:adjustRightInd w:val="0"/>
              <w:snapToGrid w:val="0"/>
              <w:spacing w:before="0" w:beforeAutospacing="0" w:after="0" w:afterAutospacing="0" w:line="360" w:lineRule="auto"/>
              <w:jc w:val="both"/>
              <w:rPr>
                <w:rFonts w:hint="eastAsia"/>
                <w:szCs w:val="24"/>
                <w:lang w:eastAsia="zh-CN"/>
              </w:rPr>
            </w:pPr>
            <w:r>
              <w:rPr>
                <w:rFonts w:hint="eastAsia"/>
                <w:sz w:val="21"/>
                <w:szCs w:val="21"/>
                <w:lang w:eastAsia="zh-CN"/>
              </w:rPr>
              <w:t>（4）投标文件格式中对应内容在提交的投标文件中的任何改动之处应加盖单位章或由投标人的法定代表人或其委托代理人签字确认。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7" w:right="99"/>
              <w:jc w:val="center"/>
              <w:rPr>
                <w:rFonts w:hint="eastAsia"/>
              </w:rPr>
            </w:pPr>
            <w:r>
              <w:rPr>
                <w:rFonts w:hint="eastAsia"/>
              </w:rPr>
              <w:t>4.1.1</w:t>
            </w:r>
          </w:p>
        </w:tc>
        <w:tc>
          <w:tcPr>
            <w:tcW w:w="1726" w:type="dxa"/>
            <w:noWrap w:val="0"/>
            <w:vAlign w:val="center"/>
          </w:tcPr>
          <w:p>
            <w:pPr>
              <w:pStyle w:val="15"/>
              <w:ind w:left="107" w:right="99"/>
              <w:jc w:val="center"/>
              <w:rPr>
                <w:rFonts w:hint="eastAsia"/>
              </w:rPr>
            </w:pPr>
            <w:r>
              <w:rPr>
                <w:rFonts w:hint="eastAsia"/>
              </w:rPr>
              <w:t>投标文件的密封</w:t>
            </w:r>
          </w:p>
        </w:tc>
        <w:tc>
          <w:tcPr>
            <w:tcW w:w="6606" w:type="dxa"/>
            <w:noWrap w:val="0"/>
            <w:vAlign w:val="center"/>
          </w:tcPr>
          <w:p>
            <w:pPr>
              <w:pStyle w:val="15"/>
              <w:spacing w:before="50" w:line="288" w:lineRule="auto"/>
              <w:ind w:left="107" w:right="73"/>
              <w:rPr>
                <w:rFonts w:hint="eastAsia"/>
                <w:kern w:val="0"/>
                <w:sz w:val="24"/>
                <w:szCs w:val="24"/>
              </w:rPr>
            </w:pPr>
            <w:r>
              <w:rPr>
                <w:rFonts w:hint="eastAsia"/>
                <w:bCs/>
                <w:lang w:val="en-US"/>
              </w:rPr>
              <w:t>投标文件应在其封套的封口处加贴封条，并在封套的封口处加盖投标人单位章（鲜章）。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7" w:right="99"/>
              <w:jc w:val="center"/>
              <w:rPr>
                <w:rFonts w:hint="eastAsia"/>
              </w:rPr>
            </w:pPr>
            <w:r>
              <w:rPr>
                <w:rFonts w:hint="eastAsia"/>
              </w:rPr>
              <w:t>4.1.2</w:t>
            </w:r>
          </w:p>
        </w:tc>
        <w:tc>
          <w:tcPr>
            <w:tcW w:w="1726" w:type="dxa"/>
            <w:noWrap w:val="0"/>
            <w:vAlign w:val="center"/>
          </w:tcPr>
          <w:p>
            <w:pPr>
              <w:pStyle w:val="15"/>
              <w:ind w:left="107" w:right="99"/>
              <w:jc w:val="center"/>
              <w:rPr>
                <w:rFonts w:hint="eastAsia"/>
              </w:rPr>
            </w:pPr>
            <w:r>
              <w:rPr>
                <w:rFonts w:hint="eastAsia"/>
              </w:rPr>
              <w:t>封套上应载明的信息</w:t>
            </w:r>
          </w:p>
        </w:tc>
        <w:tc>
          <w:tcPr>
            <w:tcW w:w="6606" w:type="dxa"/>
            <w:noWrap w:val="0"/>
            <w:vAlign w:val="center"/>
          </w:tcPr>
          <w:p>
            <w:pPr>
              <w:pStyle w:val="15"/>
              <w:tabs>
                <w:tab w:val="left" w:pos="3304"/>
              </w:tabs>
              <w:spacing w:before="90" w:line="321" w:lineRule="auto"/>
              <w:ind w:left="107" w:right="1700"/>
              <w:rPr>
                <w:rFonts w:hint="eastAsia"/>
                <w:b/>
                <w:bCs/>
                <w:lang w:val="en-US"/>
              </w:rPr>
            </w:pPr>
            <w:r>
              <w:rPr>
                <w:rFonts w:hint="eastAsia"/>
                <w:b/>
                <w:bCs/>
                <w:lang w:val="en-US"/>
              </w:rPr>
              <w:t>投标封套外写明:</w:t>
            </w:r>
          </w:p>
          <w:p>
            <w:pPr>
              <w:pStyle w:val="15"/>
              <w:tabs>
                <w:tab w:val="left" w:pos="3304"/>
              </w:tabs>
              <w:spacing w:before="90" w:line="321" w:lineRule="auto"/>
              <w:ind w:left="107" w:right="1700"/>
              <w:rPr>
                <w:rFonts w:hint="eastAsia"/>
                <w:u w:val="single"/>
              </w:rPr>
            </w:pPr>
            <w:r>
              <w:rPr>
                <w:rFonts w:hint="eastAsia"/>
              </w:rPr>
              <w:t>招标</w:t>
            </w:r>
            <w:r>
              <w:rPr>
                <w:rFonts w:hint="eastAsia"/>
                <w:spacing w:val="-3"/>
              </w:rPr>
              <w:t>人</w:t>
            </w:r>
            <w:r>
              <w:rPr>
                <w:rFonts w:hint="eastAsia"/>
              </w:rPr>
              <w:t>名</w:t>
            </w:r>
            <w:r>
              <w:rPr>
                <w:rFonts w:hint="eastAsia"/>
                <w:spacing w:val="-3"/>
              </w:rPr>
              <w:t>称</w:t>
            </w:r>
            <w:r>
              <w:rPr>
                <w:rFonts w:hint="eastAsia"/>
              </w:rPr>
              <w:t>：</w:t>
            </w:r>
            <w:r>
              <w:rPr>
                <w:rFonts w:hint="eastAsia"/>
                <w:u w:val="single"/>
              </w:rPr>
              <w:tab/>
            </w:r>
          </w:p>
          <w:p>
            <w:pPr>
              <w:pStyle w:val="15"/>
              <w:tabs>
                <w:tab w:val="left" w:pos="3304"/>
              </w:tabs>
              <w:spacing w:before="90" w:line="321" w:lineRule="auto"/>
              <w:ind w:left="107" w:right="1700"/>
              <w:rPr>
                <w:rFonts w:hint="eastAsia"/>
              </w:rPr>
            </w:pPr>
            <w:r>
              <w:rPr>
                <w:rFonts w:hint="eastAsia"/>
                <w:lang w:val="en-US"/>
              </w:rPr>
              <w:t xml:space="preserve">招标人地址： </w:t>
            </w:r>
            <w:r>
              <w:rPr>
                <w:rFonts w:hint="eastAsia"/>
                <w:u w:val="single"/>
              </w:rPr>
              <w:tab/>
            </w:r>
          </w:p>
          <w:p>
            <w:pPr>
              <w:pStyle w:val="15"/>
              <w:tabs>
                <w:tab w:val="left" w:pos="738"/>
                <w:tab w:val="left" w:pos="2627"/>
                <w:tab w:val="left" w:pos="2884"/>
              </w:tabs>
              <w:spacing w:line="321" w:lineRule="auto"/>
              <w:ind w:left="107" w:right="274"/>
              <w:rPr>
                <w:rFonts w:hint="eastAsia"/>
                <w:lang w:val="en-US"/>
              </w:rPr>
            </w:pPr>
            <w:r>
              <w:rPr>
                <w:rFonts w:hint="eastAsia"/>
                <w:u w:val="single"/>
              </w:rPr>
              <w:t xml:space="preserve"> </w:t>
            </w:r>
            <w:r>
              <w:rPr>
                <w:rFonts w:hint="eastAsia"/>
                <w:u w:val="single"/>
              </w:rPr>
              <w:tab/>
            </w:r>
            <w:r>
              <w:rPr>
                <w:rFonts w:hint="eastAsia"/>
              </w:rPr>
              <w:t>（</w:t>
            </w:r>
            <w:r>
              <w:rPr>
                <w:rFonts w:hint="eastAsia"/>
                <w:spacing w:val="-3"/>
              </w:rPr>
              <w:t>项</w:t>
            </w:r>
            <w:r>
              <w:rPr>
                <w:rFonts w:hint="eastAsia"/>
              </w:rPr>
              <w:t>目</w:t>
            </w:r>
            <w:r>
              <w:rPr>
                <w:rFonts w:hint="eastAsia"/>
                <w:spacing w:val="-3"/>
              </w:rPr>
              <w:t>名</w:t>
            </w:r>
            <w:r>
              <w:rPr>
                <w:rFonts w:hint="eastAsia"/>
              </w:rPr>
              <w:t>称</w:t>
            </w:r>
            <w:r>
              <w:rPr>
                <w:rFonts w:hint="eastAsia"/>
                <w:spacing w:val="-3"/>
              </w:rPr>
              <w:t>）</w:t>
            </w:r>
            <w:r>
              <w:rPr>
                <w:rFonts w:hint="eastAsia"/>
                <w:spacing w:val="-3"/>
                <w:u w:val="single"/>
              </w:rPr>
              <w:t xml:space="preserve"> </w:t>
            </w:r>
            <w:r>
              <w:rPr>
                <w:rFonts w:hint="eastAsia"/>
                <w:spacing w:val="-3"/>
                <w:u w:val="single"/>
              </w:rPr>
              <w:tab/>
            </w:r>
            <w:r>
              <w:rPr>
                <w:rFonts w:hint="eastAsia"/>
                <w:spacing w:val="-3"/>
                <w:lang w:val="en-US"/>
              </w:rPr>
              <w:t>分段投标文件</w:t>
            </w:r>
          </w:p>
          <w:p>
            <w:pPr>
              <w:pStyle w:val="15"/>
              <w:tabs>
                <w:tab w:val="left" w:pos="3935"/>
              </w:tabs>
              <w:spacing w:line="321" w:lineRule="auto"/>
              <w:ind w:left="107" w:right="1069"/>
              <w:rPr>
                <w:rFonts w:hint="eastAsia"/>
              </w:rPr>
            </w:pPr>
            <w:r>
              <w:rPr>
                <w:rFonts w:hint="eastAsia"/>
              </w:rPr>
              <w:t>在</w:t>
            </w:r>
            <w:r>
              <w:rPr>
                <w:rFonts w:hint="eastAsia"/>
                <w:u w:val="single"/>
              </w:rPr>
              <w:t xml:space="preserve">   </w:t>
            </w:r>
            <w:r>
              <w:rPr>
                <w:rFonts w:hint="eastAsia"/>
                <w:spacing w:val="2"/>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spacing w:val="101"/>
                <w:u w:val="single"/>
              </w:rPr>
              <w:t xml:space="preserve"> </w:t>
            </w:r>
            <w:r>
              <w:rPr>
                <w:rFonts w:hint="eastAsia"/>
              </w:rPr>
              <w:t>分前</w:t>
            </w:r>
            <w:r>
              <w:rPr>
                <w:rFonts w:hint="eastAsia"/>
                <w:spacing w:val="-3"/>
              </w:rPr>
              <w:t>不</w:t>
            </w:r>
            <w:r>
              <w:rPr>
                <w:rFonts w:hint="eastAsia"/>
              </w:rPr>
              <w:t>得</w:t>
            </w:r>
            <w:r>
              <w:rPr>
                <w:rFonts w:hint="eastAsia"/>
                <w:spacing w:val="-3"/>
              </w:rPr>
              <w:t>开</w:t>
            </w:r>
            <w:r>
              <w:rPr>
                <w:rFonts w:hint="eastAsia"/>
              </w:rPr>
              <w:t>启</w:t>
            </w:r>
          </w:p>
          <w:p>
            <w:pPr>
              <w:pStyle w:val="15"/>
              <w:tabs>
                <w:tab w:val="left" w:pos="3935"/>
              </w:tabs>
              <w:spacing w:line="321" w:lineRule="auto"/>
              <w:ind w:left="107" w:right="1069"/>
              <w:rPr>
                <w:rFonts w:hint="eastAsia"/>
                <w:sz w:val="27"/>
              </w:rPr>
            </w:pPr>
            <w:r>
              <w:rPr>
                <w:rFonts w:hint="eastAsia"/>
              </w:rPr>
              <w:t>投标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pPr>
              <w:pStyle w:val="15"/>
              <w:tabs>
                <w:tab w:val="left" w:pos="738"/>
              </w:tabs>
              <w:ind w:left="107"/>
              <w:rPr>
                <w:rFonts w:hint="eastAsia"/>
                <w:u w:val="single"/>
                <w:lang w:val="en-US"/>
              </w:rPr>
            </w:pPr>
            <w:r>
              <w:rPr>
                <w:rFonts w:hint="eastAsia"/>
                <w:lang w:val="en-US"/>
              </w:rPr>
              <w:t>注：封口处加贴封条,并在封套的封口处加盖投标人单位章(鲜章)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7" w:right="99"/>
              <w:jc w:val="center"/>
              <w:rPr>
                <w:rFonts w:hint="eastAsia"/>
              </w:rPr>
            </w:pPr>
            <w:r>
              <w:rPr>
                <w:rFonts w:hint="eastAsia"/>
                <w:lang w:val="en-US"/>
              </w:rPr>
              <w:t>4.2.3</w:t>
            </w:r>
          </w:p>
        </w:tc>
        <w:tc>
          <w:tcPr>
            <w:tcW w:w="1726" w:type="dxa"/>
            <w:noWrap w:val="0"/>
            <w:vAlign w:val="center"/>
          </w:tcPr>
          <w:p>
            <w:pPr>
              <w:pStyle w:val="15"/>
              <w:ind w:left="107" w:right="99"/>
              <w:jc w:val="center"/>
              <w:rPr>
                <w:rFonts w:hint="eastAsia"/>
              </w:rPr>
            </w:pPr>
            <w:r>
              <w:rPr>
                <w:rFonts w:hint="eastAsia"/>
              </w:rPr>
              <w:t>是否退还投标文件</w:t>
            </w:r>
          </w:p>
        </w:tc>
        <w:tc>
          <w:tcPr>
            <w:tcW w:w="6606" w:type="dxa"/>
            <w:noWrap w:val="0"/>
            <w:vAlign w:val="center"/>
          </w:tcPr>
          <w:p>
            <w:pPr>
              <w:pStyle w:val="15"/>
              <w:tabs>
                <w:tab w:val="left" w:pos="632"/>
              </w:tabs>
              <w:spacing w:before="50"/>
              <w:ind w:left="106"/>
              <w:jc w:val="left"/>
              <w:rPr>
                <w:rFonts w:hint="eastAsia"/>
                <w:szCs w:val="21"/>
                <w:lang w:val="en-US"/>
              </w:rPr>
            </w:pPr>
            <w:r>
              <w:rPr>
                <w:rFonts w:hint="eastAsia"/>
                <w:szCs w:val="21"/>
                <w:lang w:val="en-US"/>
              </w:rPr>
              <w:sym w:font="Wingdings 2" w:char="0052"/>
            </w:r>
            <w:r>
              <w:rPr>
                <w:rFonts w:hint="eastAsia"/>
                <w:szCs w:val="21"/>
                <w:lang w:val="en-US"/>
              </w:rPr>
              <w:t>否</w:t>
            </w:r>
          </w:p>
          <w:p>
            <w:pPr>
              <w:pStyle w:val="15"/>
              <w:tabs>
                <w:tab w:val="left" w:pos="632"/>
              </w:tabs>
              <w:spacing w:before="50"/>
              <w:ind w:left="106"/>
              <w:jc w:val="left"/>
              <w:rPr>
                <w:rFonts w:hint="eastAsia"/>
                <w:lang w:val="en-US"/>
              </w:rPr>
            </w:pPr>
            <w:r>
              <w:rPr>
                <w:rFonts w:hint="eastAsia"/>
                <w:szCs w:val="21"/>
                <w:lang w:val="en-US"/>
              </w:rPr>
              <w:sym w:font="Wingdings 2" w:char="00A3"/>
            </w:r>
            <w:r>
              <w:rPr>
                <w:rFonts w:hint="eastAsia"/>
                <w:szCs w:val="21"/>
                <w:lang w:val="en-US"/>
              </w:rPr>
              <w:t>是，退还时间</w:t>
            </w:r>
            <w:r>
              <w:rPr>
                <w:rFonts w:hint="eastAsia"/>
                <w:szCs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959" w:type="dxa"/>
            <w:noWrap w:val="0"/>
            <w:vAlign w:val="center"/>
          </w:tcPr>
          <w:p>
            <w:pPr>
              <w:pStyle w:val="15"/>
              <w:ind w:left="107" w:right="99"/>
              <w:jc w:val="center"/>
              <w:rPr>
                <w:rFonts w:hint="eastAsia"/>
              </w:rPr>
            </w:pPr>
            <w:r>
              <w:rPr>
                <w:rFonts w:hint="eastAsia"/>
              </w:rPr>
              <w:t>4.2.5</w:t>
            </w:r>
          </w:p>
        </w:tc>
        <w:tc>
          <w:tcPr>
            <w:tcW w:w="1726" w:type="dxa"/>
            <w:noWrap w:val="0"/>
            <w:vAlign w:val="center"/>
          </w:tcPr>
          <w:p>
            <w:pPr>
              <w:pStyle w:val="15"/>
              <w:ind w:left="107" w:right="99"/>
              <w:jc w:val="center"/>
              <w:rPr>
                <w:rFonts w:hint="eastAsia"/>
              </w:rPr>
            </w:pPr>
            <w:r>
              <w:rPr>
                <w:rFonts w:hint="eastAsia"/>
              </w:rPr>
              <w:t>投标文件的拒收</w:t>
            </w:r>
          </w:p>
        </w:tc>
        <w:tc>
          <w:tcPr>
            <w:tcW w:w="6606" w:type="dxa"/>
            <w:noWrap w:val="0"/>
            <w:vAlign w:val="center"/>
          </w:tcPr>
          <w:p>
            <w:pPr>
              <w:pStyle w:val="15"/>
              <w:spacing w:before="121"/>
              <w:ind w:left="107"/>
              <w:rPr>
                <w:rFonts w:hint="eastAsia"/>
              </w:rPr>
            </w:pPr>
            <w:r>
              <w:rPr>
                <w:rFonts w:hint="eastAsia"/>
              </w:rPr>
              <w:t>投标文件有下列情形之一的，招标人应当拒收：</w:t>
            </w:r>
          </w:p>
          <w:p>
            <w:pPr>
              <w:pStyle w:val="15"/>
              <w:numPr>
                <w:ilvl w:val="0"/>
                <w:numId w:val="4"/>
              </w:numPr>
              <w:tabs>
                <w:tab w:val="left" w:pos="632"/>
              </w:tabs>
              <w:spacing w:before="53"/>
              <w:jc w:val="left"/>
              <w:rPr>
                <w:rFonts w:hint="eastAsia"/>
              </w:rPr>
            </w:pPr>
            <w:r>
              <w:rPr>
                <w:rFonts w:hint="eastAsia"/>
              </w:rPr>
              <w:t>逾期送达或者未送达指定地点；</w:t>
            </w:r>
          </w:p>
          <w:p>
            <w:pPr>
              <w:pStyle w:val="15"/>
              <w:numPr>
                <w:ilvl w:val="0"/>
                <w:numId w:val="4"/>
              </w:numPr>
              <w:tabs>
                <w:tab w:val="left" w:pos="632"/>
              </w:tabs>
              <w:spacing w:before="50"/>
              <w:jc w:val="left"/>
              <w:rPr>
                <w:rFonts w:hint="eastAsia"/>
                <w:szCs w:val="21"/>
                <w:u w:val="single"/>
              </w:rPr>
            </w:pPr>
            <w:r>
              <w:rPr>
                <w:rFonts w:hint="eastAsia"/>
              </w:rPr>
              <w:t>未按招标文件要求密封。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959" w:type="dxa"/>
            <w:noWrap w:val="0"/>
            <w:vAlign w:val="center"/>
          </w:tcPr>
          <w:p>
            <w:pPr>
              <w:pStyle w:val="15"/>
              <w:ind w:right="98"/>
              <w:jc w:val="center"/>
              <w:rPr>
                <w:rFonts w:hint="eastAsia"/>
              </w:rPr>
            </w:pPr>
            <w:r>
              <w:rPr>
                <w:rFonts w:hint="eastAsia"/>
              </w:rPr>
              <w:t>5.1</w:t>
            </w:r>
          </w:p>
        </w:tc>
        <w:tc>
          <w:tcPr>
            <w:tcW w:w="1726" w:type="dxa"/>
            <w:noWrap w:val="0"/>
            <w:vAlign w:val="center"/>
          </w:tcPr>
          <w:p>
            <w:pPr>
              <w:pStyle w:val="15"/>
              <w:ind w:right="99"/>
              <w:jc w:val="center"/>
              <w:rPr>
                <w:rFonts w:hint="eastAsia"/>
              </w:rPr>
            </w:pPr>
            <w:r>
              <w:rPr>
                <w:rFonts w:hint="eastAsia"/>
              </w:rPr>
              <w:t>开标时间和地点</w:t>
            </w:r>
          </w:p>
        </w:tc>
        <w:tc>
          <w:tcPr>
            <w:tcW w:w="6606" w:type="dxa"/>
            <w:noWrap w:val="0"/>
            <w:vAlign w:val="center"/>
          </w:tcPr>
          <w:p>
            <w:pPr>
              <w:pStyle w:val="15"/>
              <w:spacing w:before="91" w:line="263" w:lineRule="exact"/>
              <w:ind w:left="107"/>
              <w:rPr>
                <w:rFonts w:hint="eastAsia"/>
                <w:szCs w:val="21"/>
                <w:u w:val="single"/>
                <w:lang w:val="en-US"/>
              </w:rPr>
            </w:pPr>
            <w:r>
              <w:rPr>
                <w:rFonts w:hint="eastAsia"/>
                <w:szCs w:val="21"/>
              </w:rPr>
              <w:t>详见招标公</w:t>
            </w:r>
            <w:r>
              <w:rPr>
                <w:rFonts w:hint="eastAsia"/>
                <w:szCs w:val="21"/>
                <w:lang w:val="en-US"/>
              </w:rPr>
              <w:t>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jc w:val="center"/>
        </w:trPr>
        <w:tc>
          <w:tcPr>
            <w:tcW w:w="959" w:type="dxa"/>
            <w:noWrap w:val="0"/>
            <w:vAlign w:val="center"/>
          </w:tcPr>
          <w:p>
            <w:pPr>
              <w:pStyle w:val="15"/>
              <w:ind w:right="99"/>
              <w:jc w:val="center"/>
              <w:rPr>
                <w:rFonts w:hint="eastAsia"/>
              </w:rPr>
            </w:pPr>
            <w:r>
              <w:rPr>
                <w:rFonts w:hint="eastAsia"/>
              </w:rPr>
              <w:t>6.1.1</w:t>
            </w:r>
          </w:p>
        </w:tc>
        <w:tc>
          <w:tcPr>
            <w:tcW w:w="1726" w:type="dxa"/>
            <w:noWrap w:val="0"/>
            <w:vAlign w:val="center"/>
          </w:tcPr>
          <w:p>
            <w:pPr>
              <w:pStyle w:val="15"/>
              <w:spacing w:line="321" w:lineRule="auto"/>
              <w:ind w:right="175"/>
              <w:jc w:val="center"/>
              <w:rPr>
                <w:rFonts w:hint="eastAsia"/>
              </w:rPr>
            </w:pPr>
            <w:r>
              <w:rPr>
                <w:rFonts w:hint="eastAsia"/>
              </w:rPr>
              <w:t>评标委员会的组建</w:t>
            </w:r>
          </w:p>
        </w:tc>
        <w:tc>
          <w:tcPr>
            <w:tcW w:w="6606" w:type="dxa"/>
            <w:noWrap w:val="0"/>
            <w:vAlign w:val="center"/>
          </w:tcPr>
          <w:p>
            <w:pPr>
              <w:jc w:val="left"/>
              <w:rPr>
                <w:rFonts w:hint="eastAsia" w:ascii="宋体" w:hAnsi="宋体" w:cs="宋体"/>
                <w:spacing w:val="-1"/>
              </w:rPr>
            </w:pPr>
            <w:r>
              <w:rPr>
                <w:rFonts w:hint="eastAsia" w:ascii="宋体" w:hAnsi="宋体" w:cs="宋体"/>
                <w:lang w:val="zh-CN"/>
              </w:rPr>
              <w:t>评标委员会</w:t>
            </w:r>
            <w:r>
              <w:rPr>
                <w:rFonts w:hint="eastAsia" w:ascii="宋体" w:hAnsi="宋体" w:cs="宋体"/>
              </w:rPr>
              <w:t>:五人以上单数，其中技术、经济等方面的专家不得少于成员总数的三分之二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959" w:type="dxa"/>
            <w:noWrap w:val="0"/>
            <w:vAlign w:val="center"/>
          </w:tcPr>
          <w:p>
            <w:pPr>
              <w:pStyle w:val="15"/>
              <w:ind w:left="107" w:right="99"/>
              <w:jc w:val="center"/>
              <w:rPr>
                <w:rFonts w:hint="eastAsia"/>
              </w:rPr>
            </w:pPr>
            <w:r>
              <w:rPr>
                <w:rFonts w:hint="eastAsia"/>
                <w:lang w:val="en-US"/>
              </w:rPr>
              <w:t>6.3.1</w:t>
            </w:r>
          </w:p>
        </w:tc>
        <w:tc>
          <w:tcPr>
            <w:tcW w:w="1726" w:type="dxa"/>
            <w:noWrap w:val="0"/>
            <w:vAlign w:val="center"/>
          </w:tcPr>
          <w:p>
            <w:pPr>
              <w:pStyle w:val="15"/>
              <w:spacing w:line="262" w:lineRule="exact"/>
              <w:ind w:left="5"/>
              <w:jc w:val="center"/>
              <w:rPr>
                <w:rFonts w:hint="eastAsia"/>
              </w:rPr>
            </w:pPr>
            <w:r>
              <w:rPr>
                <w:rFonts w:hint="eastAsia"/>
              </w:rPr>
              <w:t>评标方法</w:t>
            </w:r>
          </w:p>
        </w:tc>
        <w:tc>
          <w:tcPr>
            <w:tcW w:w="6606" w:type="dxa"/>
            <w:noWrap w:val="0"/>
            <w:vAlign w:val="center"/>
          </w:tcPr>
          <w:p>
            <w:pPr>
              <w:pStyle w:val="15"/>
              <w:ind w:firstLine="200" w:firstLineChars="100"/>
              <w:rPr>
                <w:rFonts w:hint="eastAsia"/>
                <w:spacing w:val="-5"/>
                <w:lang w:val="en-US"/>
              </w:rPr>
            </w:pPr>
            <w:r>
              <w:rPr>
                <w:rFonts w:hint="eastAsia"/>
                <w:spacing w:val="-5"/>
                <w:lang w:val="en-US"/>
              </w:rPr>
              <w:t xml:space="preserve">     </w:t>
            </w:r>
          </w:p>
          <w:p>
            <w:pPr>
              <w:pStyle w:val="15"/>
              <w:ind w:firstLine="200" w:firstLineChars="100"/>
              <w:rPr>
                <w:rFonts w:hint="eastAsia"/>
                <w:spacing w:val="-5"/>
                <w:lang w:val="en-US"/>
              </w:rPr>
            </w:pPr>
            <w:r>
              <w:rPr>
                <w:rFonts w:hint="eastAsia"/>
                <w:spacing w:val="-5"/>
                <w:lang w:val="en-US"/>
              </w:rPr>
              <w:t>综合评分法</w:t>
            </w:r>
          </w:p>
          <w:p>
            <w:pPr>
              <w:pStyle w:val="15"/>
              <w:rPr>
                <w:rFonts w:hint="eastAsia"/>
                <w:spacing w:val="-5"/>
                <w:lang w:val="en-US"/>
              </w:rPr>
            </w:pPr>
            <w:r>
              <w:rPr>
                <w:rFonts w:hint="eastAsia"/>
                <w:spacing w:val="-5"/>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7" w:right="99"/>
              <w:jc w:val="center"/>
              <w:rPr>
                <w:rFonts w:hint="eastAsia"/>
              </w:rPr>
            </w:pPr>
            <w:r>
              <w:rPr>
                <w:rFonts w:hint="eastAsia"/>
              </w:rPr>
              <w:t>6.3.2</w:t>
            </w:r>
          </w:p>
        </w:tc>
        <w:tc>
          <w:tcPr>
            <w:tcW w:w="1726" w:type="dxa"/>
            <w:noWrap w:val="0"/>
            <w:vAlign w:val="center"/>
          </w:tcPr>
          <w:p>
            <w:pPr>
              <w:pStyle w:val="15"/>
              <w:spacing w:line="262" w:lineRule="exact"/>
              <w:ind w:left="5"/>
              <w:jc w:val="center"/>
              <w:rPr>
                <w:rFonts w:hint="eastAsia"/>
              </w:rPr>
            </w:pPr>
            <w:r>
              <w:rPr>
                <w:rFonts w:hint="eastAsia"/>
              </w:rPr>
              <w:t>评标委员会推荐中标候选人的人数</w:t>
            </w:r>
          </w:p>
        </w:tc>
        <w:tc>
          <w:tcPr>
            <w:tcW w:w="6606" w:type="dxa"/>
            <w:noWrap w:val="0"/>
            <w:vAlign w:val="center"/>
          </w:tcPr>
          <w:p>
            <w:pPr>
              <w:pStyle w:val="15"/>
              <w:rPr>
                <w:rFonts w:hint="eastAsia"/>
                <w:kern w:val="0"/>
              </w:rPr>
            </w:pPr>
            <w:r>
              <w:rPr>
                <w:rFonts w:hint="eastAsia"/>
                <w:lang w:val="en-US"/>
              </w:rPr>
              <w:t>3 名（若不足 3 名，则按实际数量推荐）。具体推荐原则详见评标办法正文。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959" w:type="dxa"/>
            <w:tcBorders>
              <w:bottom w:val="single" w:color="auto" w:sz="4" w:space="0"/>
            </w:tcBorders>
            <w:noWrap w:val="0"/>
            <w:vAlign w:val="center"/>
          </w:tcPr>
          <w:p>
            <w:pPr>
              <w:pStyle w:val="15"/>
              <w:ind w:left="108" w:right="98"/>
              <w:jc w:val="center"/>
              <w:rPr>
                <w:rFonts w:hint="eastAsia"/>
                <w:lang w:val="en-US"/>
              </w:rPr>
            </w:pPr>
            <w:r>
              <w:rPr>
                <w:rFonts w:hint="eastAsia"/>
                <w:lang w:val="en-US"/>
              </w:rPr>
              <w:t>6.4</w:t>
            </w:r>
          </w:p>
        </w:tc>
        <w:tc>
          <w:tcPr>
            <w:tcW w:w="1726" w:type="dxa"/>
            <w:tcBorders>
              <w:bottom w:val="single" w:color="auto" w:sz="4" w:space="0"/>
            </w:tcBorders>
            <w:noWrap w:val="0"/>
            <w:vAlign w:val="center"/>
          </w:tcPr>
          <w:p>
            <w:pPr>
              <w:pStyle w:val="15"/>
              <w:spacing w:line="262" w:lineRule="exact"/>
              <w:ind w:left="5"/>
              <w:jc w:val="center"/>
              <w:rPr>
                <w:rFonts w:hint="eastAsia"/>
                <w:lang w:val="en-US"/>
              </w:rPr>
            </w:pPr>
            <w:r>
              <w:rPr>
                <w:rFonts w:hint="eastAsia"/>
                <w:lang w:val="en-US"/>
              </w:rPr>
              <w:t>招标程序</w:t>
            </w:r>
          </w:p>
        </w:tc>
        <w:tc>
          <w:tcPr>
            <w:tcW w:w="6606" w:type="dxa"/>
            <w:tcBorders>
              <w:bottom w:val="single" w:color="auto" w:sz="4" w:space="0"/>
            </w:tcBorders>
            <w:noWrap w:val="0"/>
            <w:vAlign w:val="center"/>
          </w:tcPr>
          <w:p>
            <w:pPr>
              <w:pStyle w:val="15"/>
              <w:spacing w:line="259" w:lineRule="exact"/>
              <w:ind w:left="107"/>
              <w:rPr>
                <w:rFonts w:hint="eastAsia"/>
                <w:szCs w:val="21"/>
              </w:rPr>
            </w:pPr>
            <w:r>
              <w:rPr>
                <w:rFonts w:hint="eastAsia"/>
                <w:szCs w:val="21"/>
                <w:lang w:val="en-US"/>
              </w:rPr>
              <w:t>1、</w:t>
            </w:r>
            <w:r>
              <w:rPr>
                <w:rFonts w:hint="eastAsia"/>
                <w:szCs w:val="21"/>
              </w:rPr>
              <w:t>发布招标公告。</w:t>
            </w:r>
          </w:p>
          <w:p>
            <w:pPr>
              <w:pStyle w:val="15"/>
              <w:spacing w:line="259" w:lineRule="exact"/>
              <w:ind w:left="107"/>
              <w:rPr>
                <w:rFonts w:hint="eastAsia"/>
                <w:szCs w:val="21"/>
              </w:rPr>
            </w:pPr>
            <w:r>
              <w:rPr>
                <w:rFonts w:hint="eastAsia"/>
                <w:szCs w:val="21"/>
                <w:lang w:val="en-US"/>
              </w:rPr>
              <w:t>2、</w:t>
            </w:r>
            <w:r>
              <w:rPr>
                <w:rFonts w:hint="eastAsia"/>
                <w:szCs w:val="21"/>
              </w:rPr>
              <w:t>招标人对购买标书的潜在</w:t>
            </w:r>
            <w:r>
              <w:rPr>
                <w:rFonts w:hint="eastAsia"/>
                <w:szCs w:val="21"/>
                <w:lang w:val="en-US"/>
              </w:rPr>
              <w:t>投标人项目负责人和项目技术负责人</w:t>
            </w:r>
            <w:r>
              <w:rPr>
                <w:rFonts w:hint="eastAsia"/>
                <w:szCs w:val="21"/>
              </w:rPr>
              <w:t>进行考察、面试，投标人做出承诺：面试人员与投标文件中承诺的</w:t>
            </w:r>
            <w:r>
              <w:rPr>
                <w:rFonts w:hint="eastAsia"/>
                <w:szCs w:val="21"/>
                <w:lang w:val="en-US"/>
              </w:rPr>
              <w:t>项目负责人和项目技术负责人</w:t>
            </w:r>
            <w:r>
              <w:rPr>
                <w:rFonts w:hint="eastAsia"/>
                <w:szCs w:val="21"/>
              </w:rPr>
              <w:t>一致，若考察、面试人员不合格或面试人员与投标人承诺人员不一致时按否决投标处理。</w:t>
            </w:r>
          </w:p>
          <w:p>
            <w:pPr>
              <w:pStyle w:val="15"/>
              <w:spacing w:line="259" w:lineRule="exact"/>
              <w:ind w:left="107"/>
              <w:rPr>
                <w:rFonts w:hint="eastAsia"/>
                <w:szCs w:val="21"/>
              </w:rPr>
            </w:pPr>
            <w:r>
              <w:rPr>
                <w:rFonts w:hint="eastAsia"/>
                <w:szCs w:val="21"/>
                <w:lang w:val="en-US"/>
              </w:rPr>
              <w:t>3、</w:t>
            </w:r>
            <w:r>
              <w:rPr>
                <w:rFonts w:hint="eastAsia"/>
                <w:szCs w:val="21"/>
              </w:rPr>
              <w:t>开标。</w:t>
            </w:r>
          </w:p>
          <w:p>
            <w:pPr>
              <w:pStyle w:val="15"/>
              <w:spacing w:line="259" w:lineRule="exact"/>
              <w:ind w:left="107"/>
              <w:rPr>
                <w:rFonts w:hint="eastAsia"/>
                <w:szCs w:val="21"/>
              </w:rPr>
            </w:pPr>
            <w:r>
              <w:rPr>
                <w:rFonts w:hint="eastAsia"/>
                <w:szCs w:val="21"/>
                <w:lang w:val="en-US"/>
              </w:rPr>
              <w:t>4、</w:t>
            </w:r>
            <w:r>
              <w:rPr>
                <w:rFonts w:hint="eastAsia"/>
                <w:szCs w:val="21"/>
              </w:rPr>
              <w:t>由评标</w:t>
            </w:r>
            <w:r>
              <w:rPr>
                <w:rFonts w:hint="eastAsia"/>
                <w:szCs w:val="21"/>
                <w:lang w:val="en-US"/>
              </w:rPr>
              <w:t>委员会</w:t>
            </w:r>
            <w:r>
              <w:rPr>
                <w:rFonts w:hint="eastAsia"/>
                <w:szCs w:val="21"/>
              </w:rPr>
              <w:t>成员针对投标文件进行评标。</w:t>
            </w:r>
          </w:p>
          <w:p>
            <w:pPr>
              <w:pStyle w:val="15"/>
              <w:spacing w:line="259" w:lineRule="exact"/>
              <w:ind w:left="107"/>
              <w:rPr>
                <w:rFonts w:hint="eastAsia"/>
                <w:szCs w:val="21"/>
              </w:rPr>
            </w:pPr>
            <w:r>
              <w:rPr>
                <w:rFonts w:hint="eastAsia"/>
                <w:szCs w:val="21"/>
                <w:lang w:val="en-US"/>
              </w:rPr>
              <w:t>5、</w:t>
            </w:r>
            <w:r>
              <w:rPr>
                <w:rFonts w:hint="eastAsia"/>
                <w:szCs w:val="21"/>
              </w:rPr>
              <w:t>评标</w:t>
            </w:r>
            <w:r>
              <w:rPr>
                <w:rFonts w:hint="eastAsia"/>
                <w:szCs w:val="21"/>
                <w:lang w:val="en-US"/>
              </w:rPr>
              <w:t>委员会</w:t>
            </w:r>
            <w:r>
              <w:rPr>
                <w:rFonts w:hint="eastAsia"/>
                <w:szCs w:val="21"/>
              </w:rPr>
              <w:t>向招标人提交书面评标报告和中标候选人名单。</w:t>
            </w:r>
          </w:p>
          <w:p>
            <w:pPr>
              <w:pStyle w:val="15"/>
              <w:spacing w:line="259" w:lineRule="exact"/>
              <w:ind w:left="107"/>
              <w:rPr>
                <w:rFonts w:hint="eastAsia"/>
                <w:szCs w:val="21"/>
              </w:rPr>
            </w:pPr>
            <w:r>
              <w:rPr>
                <w:rFonts w:hint="eastAsia"/>
                <w:szCs w:val="21"/>
                <w:lang w:val="en-US"/>
              </w:rPr>
              <w:t>6、</w:t>
            </w:r>
            <w:r>
              <w:rPr>
                <w:rFonts w:hint="eastAsia"/>
                <w:szCs w:val="21"/>
              </w:rPr>
              <w:t>招标人</w:t>
            </w:r>
            <w:r>
              <w:rPr>
                <w:rFonts w:hint="eastAsia"/>
                <w:szCs w:val="21"/>
                <w:lang w:val="en-US"/>
              </w:rPr>
              <w:t>招标委员会</w:t>
            </w:r>
            <w:r>
              <w:rPr>
                <w:rFonts w:hint="eastAsia"/>
                <w:szCs w:val="21"/>
              </w:rPr>
              <w:t>确定中标单位。</w:t>
            </w:r>
          </w:p>
          <w:p>
            <w:pPr>
              <w:pStyle w:val="15"/>
              <w:spacing w:line="259" w:lineRule="exact"/>
              <w:ind w:left="107"/>
              <w:rPr>
                <w:rFonts w:hint="eastAsia"/>
                <w:szCs w:val="21"/>
              </w:rPr>
            </w:pPr>
            <w:r>
              <w:rPr>
                <w:rFonts w:hint="eastAsia"/>
                <w:szCs w:val="21"/>
                <w:lang w:val="en-US"/>
              </w:rPr>
              <w:t>7、</w:t>
            </w:r>
            <w:r>
              <w:rPr>
                <w:rFonts w:hint="eastAsia"/>
                <w:szCs w:val="21"/>
              </w:rPr>
              <w:t>中标结果公示。</w:t>
            </w:r>
          </w:p>
          <w:p>
            <w:pPr>
              <w:pStyle w:val="15"/>
              <w:spacing w:line="259" w:lineRule="exact"/>
              <w:ind w:left="107"/>
              <w:rPr>
                <w:rFonts w:hint="eastAsia"/>
                <w:szCs w:val="21"/>
              </w:rPr>
            </w:pPr>
            <w:r>
              <w:rPr>
                <w:rFonts w:hint="eastAsia"/>
                <w:szCs w:val="21"/>
                <w:lang w:val="en-US"/>
              </w:rPr>
              <w:t>8、</w:t>
            </w:r>
            <w:r>
              <w:rPr>
                <w:rFonts w:hint="eastAsia"/>
                <w:szCs w:val="21"/>
              </w:rPr>
              <w:t>合同谈判并签订合同。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959" w:type="dxa"/>
            <w:tcBorders>
              <w:top w:val="single" w:color="auto" w:sz="4" w:space="0"/>
            </w:tcBorders>
            <w:noWrap w:val="0"/>
            <w:vAlign w:val="center"/>
          </w:tcPr>
          <w:p>
            <w:pPr>
              <w:pStyle w:val="15"/>
              <w:ind w:left="108" w:right="98"/>
              <w:jc w:val="center"/>
              <w:rPr>
                <w:rFonts w:hint="eastAsia"/>
              </w:rPr>
            </w:pPr>
            <w:r>
              <w:rPr>
                <w:rFonts w:hint="eastAsia"/>
              </w:rPr>
              <w:t>7.1</w:t>
            </w:r>
          </w:p>
        </w:tc>
        <w:tc>
          <w:tcPr>
            <w:tcW w:w="1726" w:type="dxa"/>
            <w:tcBorders>
              <w:top w:val="single" w:color="auto" w:sz="4" w:space="0"/>
            </w:tcBorders>
            <w:noWrap w:val="0"/>
            <w:vAlign w:val="center"/>
          </w:tcPr>
          <w:p>
            <w:pPr>
              <w:pStyle w:val="15"/>
              <w:spacing w:line="262" w:lineRule="exact"/>
              <w:ind w:left="5"/>
              <w:jc w:val="center"/>
              <w:rPr>
                <w:rFonts w:hint="eastAsia"/>
              </w:rPr>
            </w:pPr>
            <w:r>
              <w:rPr>
                <w:rFonts w:hint="eastAsia"/>
              </w:rPr>
              <w:t>定标结果公示媒介及期限</w:t>
            </w:r>
          </w:p>
        </w:tc>
        <w:tc>
          <w:tcPr>
            <w:tcW w:w="6606" w:type="dxa"/>
            <w:tcBorders>
              <w:top w:val="single" w:color="auto" w:sz="4" w:space="0"/>
            </w:tcBorders>
            <w:noWrap w:val="0"/>
            <w:vAlign w:val="center"/>
          </w:tcPr>
          <w:p>
            <w:pPr>
              <w:pStyle w:val="15"/>
              <w:spacing w:line="360" w:lineRule="auto"/>
              <w:rPr>
                <w:rFonts w:hint="eastAsia"/>
                <w:kern w:val="0"/>
                <w:szCs w:val="21"/>
              </w:rPr>
            </w:pPr>
            <w:r>
              <w:rPr>
                <w:rFonts w:hint="eastAsia"/>
                <w:kern w:val="0"/>
                <w:szCs w:val="21"/>
                <w:lang w:val="en-US"/>
              </w:rPr>
              <w:t>招标人在确定中标人之日起3日内，将定标结果在四川省交通建设集团股份有限公司官网（http://www.scjtgc.com/）上公示 3日以接受社会公开监督。投标人或者其他利害关系人对定标结果有异议的，应当在公示期间提出。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spacing w:before="1"/>
              <w:ind w:right="98"/>
              <w:jc w:val="center"/>
              <w:rPr>
                <w:rFonts w:hint="eastAsia"/>
              </w:rPr>
            </w:pPr>
            <w:r>
              <w:rPr>
                <w:rFonts w:hint="eastAsia"/>
              </w:rPr>
              <w:t>7.4</w:t>
            </w:r>
          </w:p>
        </w:tc>
        <w:tc>
          <w:tcPr>
            <w:tcW w:w="1726" w:type="dxa"/>
            <w:noWrap w:val="0"/>
            <w:vAlign w:val="center"/>
          </w:tcPr>
          <w:p>
            <w:pPr>
              <w:pStyle w:val="15"/>
              <w:spacing w:line="262" w:lineRule="exact"/>
              <w:ind w:left="5"/>
              <w:jc w:val="center"/>
              <w:rPr>
                <w:rFonts w:hint="eastAsia"/>
              </w:rPr>
            </w:pPr>
            <w:r>
              <w:rPr>
                <w:rFonts w:hint="eastAsia"/>
              </w:rPr>
              <w:t>是否授权评标委员会确定中标人</w:t>
            </w:r>
          </w:p>
        </w:tc>
        <w:tc>
          <w:tcPr>
            <w:tcW w:w="6606" w:type="dxa"/>
            <w:noWrap w:val="0"/>
            <w:vAlign w:val="center"/>
          </w:tcPr>
          <w:p>
            <w:pPr>
              <w:pStyle w:val="15"/>
              <w:spacing w:before="78"/>
              <w:ind w:right="5608"/>
              <w:jc w:val="center"/>
            </w:pPr>
            <w:r>
              <w:rPr>
                <w:rFonts w:hint="eastAsia"/>
                <w:szCs w:val="21"/>
                <w:lang w:val="en-US"/>
              </w:rPr>
              <w:t xml:space="preserve">  </w:t>
            </w:r>
            <w:r>
              <w:rPr>
                <w:rFonts w:hint="eastAsia"/>
                <w:szCs w:val="21"/>
                <w:lang w:val="en-US"/>
              </w:rPr>
              <w:sym w:font="Wingdings 2" w:char="00A3"/>
            </w:r>
            <w:r>
              <w:t>是</w:t>
            </w:r>
          </w:p>
          <w:p>
            <w:pPr>
              <w:pStyle w:val="15"/>
              <w:tabs>
                <w:tab w:val="left" w:pos="431"/>
              </w:tabs>
              <w:spacing w:before="91"/>
              <w:ind w:right="5608" w:firstLine="210" w:firstLineChars="100"/>
              <w:rPr>
                <w:rFonts w:hint="eastAsia"/>
              </w:rPr>
            </w:pPr>
            <w:r>
              <w:rPr>
                <w:rFonts w:hint="eastAsia"/>
                <w:szCs w:val="21"/>
                <w:lang w:val="en-US"/>
              </w:rPr>
              <w:t xml:space="preserve">  </w:t>
            </w:r>
            <w:r>
              <w:rPr>
                <w:rFonts w:hint="eastAsia"/>
                <w:szCs w:val="21"/>
                <w:lang w:val="en-US"/>
              </w:rPr>
              <w:sym w:font="Wingdings 2" w:char="0052"/>
            </w: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8" w:right="98"/>
              <w:jc w:val="center"/>
              <w:rPr>
                <w:rFonts w:hint="eastAsia"/>
              </w:rPr>
            </w:pPr>
            <w:r>
              <w:rPr>
                <w:rFonts w:hint="eastAsia"/>
              </w:rPr>
              <w:t>7.5</w:t>
            </w:r>
          </w:p>
        </w:tc>
        <w:tc>
          <w:tcPr>
            <w:tcW w:w="1726" w:type="dxa"/>
            <w:noWrap w:val="0"/>
            <w:vAlign w:val="center"/>
          </w:tcPr>
          <w:p>
            <w:pPr>
              <w:pStyle w:val="15"/>
              <w:spacing w:line="262" w:lineRule="exact"/>
              <w:ind w:left="5"/>
              <w:jc w:val="center"/>
              <w:rPr>
                <w:rFonts w:hint="eastAsia"/>
              </w:rPr>
            </w:pPr>
            <w:r>
              <w:rPr>
                <w:rFonts w:hint="eastAsia"/>
              </w:rPr>
              <w:t>中标通知书和中标结果通知发出的形式</w:t>
            </w:r>
          </w:p>
        </w:tc>
        <w:tc>
          <w:tcPr>
            <w:tcW w:w="6606" w:type="dxa"/>
            <w:noWrap w:val="0"/>
            <w:vAlign w:val="center"/>
          </w:tcPr>
          <w:p>
            <w:pPr>
              <w:pStyle w:val="15"/>
              <w:ind w:left="107"/>
              <w:rPr>
                <w:rFonts w:hint="eastAsia"/>
              </w:rPr>
            </w:pPr>
            <w:r>
              <w:rPr>
                <w:rFonts w:hint="eastAsia"/>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jc w:val="center"/>
        </w:trPr>
        <w:tc>
          <w:tcPr>
            <w:tcW w:w="959" w:type="dxa"/>
            <w:noWrap w:val="0"/>
            <w:vAlign w:val="center"/>
          </w:tcPr>
          <w:p>
            <w:pPr>
              <w:pStyle w:val="15"/>
              <w:ind w:left="107" w:right="99"/>
              <w:jc w:val="center"/>
              <w:rPr>
                <w:rFonts w:hint="eastAsia"/>
              </w:rPr>
            </w:pPr>
            <w:r>
              <w:rPr>
                <w:rFonts w:hint="eastAsia"/>
              </w:rPr>
              <w:t>7.7.1</w:t>
            </w:r>
          </w:p>
        </w:tc>
        <w:tc>
          <w:tcPr>
            <w:tcW w:w="1726" w:type="dxa"/>
            <w:noWrap w:val="0"/>
            <w:vAlign w:val="center"/>
          </w:tcPr>
          <w:p>
            <w:pPr>
              <w:pStyle w:val="15"/>
              <w:spacing w:line="262" w:lineRule="exact"/>
              <w:ind w:left="5"/>
              <w:jc w:val="center"/>
              <w:rPr>
                <w:rFonts w:hint="eastAsia"/>
              </w:rPr>
            </w:pPr>
            <w:r>
              <w:rPr>
                <w:rFonts w:hint="eastAsia"/>
              </w:rPr>
              <w:t>履约保证金</w:t>
            </w:r>
          </w:p>
        </w:tc>
        <w:tc>
          <w:tcPr>
            <w:tcW w:w="6606" w:type="dxa"/>
            <w:noWrap w:val="0"/>
            <w:vAlign w:val="center"/>
          </w:tcPr>
          <w:p>
            <w:pPr>
              <w:pStyle w:val="15"/>
              <w:spacing w:before="78"/>
              <w:ind w:left="107"/>
              <w:rPr>
                <w:rFonts w:hint="eastAsia"/>
              </w:rPr>
            </w:pPr>
            <w:r>
              <w:rPr>
                <w:rFonts w:hint="eastAsia"/>
              </w:rPr>
              <w:t>是否要求中标人提交履约保证金：</w:t>
            </w:r>
          </w:p>
          <w:p>
            <w:pPr>
              <w:pStyle w:val="15"/>
              <w:tabs>
                <w:tab w:val="left" w:pos="548"/>
              </w:tabs>
              <w:spacing w:before="91"/>
              <w:ind w:firstLine="210" w:firstLineChars="100"/>
            </w:pPr>
            <w:r>
              <w:rPr>
                <w:rFonts w:hint="eastAsia"/>
                <w:szCs w:val="21"/>
                <w:lang w:val="en-US"/>
              </w:rPr>
              <w:sym w:font="Wingdings 2" w:char="0052"/>
            </w:r>
            <w:r>
              <w:t>要求</w:t>
            </w:r>
          </w:p>
          <w:p>
            <w:pPr>
              <w:pStyle w:val="15"/>
              <w:tabs>
                <w:tab w:val="left" w:pos="548"/>
              </w:tabs>
              <w:spacing w:before="91"/>
              <w:ind w:firstLine="210" w:firstLineChars="100"/>
            </w:pPr>
            <w:r>
              <w:rPr>
                <w:rFonts w:hint="eastAsia"/>
                <w:szCs w:val="21"/>
                <w:lang w:val="en-US"/>
              </w:rPr>
              <w:sym w:font="Wingdings 2" w:char="00A3"/>
            </w:r>
            <w:r>
              <w:t>不要求</w:t>
            </w:r>
          </w:p>
          <w:p>
            <w:pPr>
              <w:pStyle w:val="15"/>
              <w:numPr>
                <w:ilvl w:val="0"/>
                <w:numId w:val="5"/>
              </w:numPr>
              <w:tabs>
                <w:tab w:val="left" w:pos="632"/>
              </w:tabs>
              <w:spacing w:before="91"/>
              <w:jc w:val="left"/>
              <w:rPr>
                <w:rFonts w:hint="eastAsia"/>
              </w:rPr>
            </w:pPr>
            <w:r>
              <w:rPr>
                <w:rFonts w:hint="eastAsia"/>
              </w:rPr>
              <w:t>履约保证金的形式：银行保函或现金、支票等形式。</w:t>
            </w:r>
          </w:p>
          <w:p>
            <w:pPr>
              <w:pStyle w:val="15"/>
              <w:numPr>
                <w:ilvl w:val="0"/>
                <w:numId w:val="5"/>
              </w:numPr>
              <w:tabs>
                <w:tab w:val="left" w:pos="632"/>
              </w:tabs>
              <w:spacing w:before="91"/>
              <w:jc w:val="left"/>
              <w:rPr>
                <w:rFonts w:hint="eastAsia"/>
              </w:rPr>
            </w:pPr>
            <w:r>
              <w:rPr>
                <w:rFonts w:hint="eastAsia"/>
              </w:rPr>
              <w:t>履约保证金的金额：见招标公告</w:t>
            </w:r>
          </w:p>
          <w:p>
            <w:pPr>
              <w:pStyle w:val="15"/>
              <w:numPr>
                <w:ilvl w:val="0"/>
                <w:numId w:val="5"/>
              </w:numPr>
              <w:tabs>
                <w:tab w:val="left" w:pos="632"/>
              </w:tabs>
              <w:spacing w:before="91"/>
              <w:jc w:val="left"/>
              <w:rPr>
                <w:rFonts w:hint="eastAsia"/>
              </w:rPr>
            </w:pPr>
            <w:r>
              <w:rPr>
                <w:rFonts w:hint="eastAsia"/>
              </w:rPr>
              <w:t>银行保函应由支行及以上国有或股份制商业银行开具；现金、 支票等形式的履约担保必须从投标人基本帐户中转出或开具。</w:t>
            </w:r>
          </w:p>
          <w:p>
            <w:pPr>
              <w:pStyle w:val="15"/>
              <w:numPr>
                <w:ilvl w:val="0"/>
                <w:numId w:val="5"/>
              </w:numPr>
              <w:tabs>
                <w:tab w:val="left" w:pos="632"/>
              </w:tabs>
              <w:spacing w:before="91"/>
              <w:jc w:val="left"/>
              <w:rPr>
                <w:rFonts w:hint="eastAsia"/>
              </w:rPr>
            </w:pPr>
            <w:r>
              <w:rPr>
                <w:rFonts w:hint="eastAsia"/>
              </w:rPr>
              <w:t>提交履约担保时间：签订合同协议书之前。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7" w:right="99"/>
              <w:jc w:val="center"/>
              <w:rPr>
                <w:rFonts w:hint="eastAsia"/>
              </w:rPr>
            </w:pPr>
            <w:r>
              <w:rPr>
                <w:rFonts w:hint="eastAsia"/>
              </w:rPr>
              <w:t>7.8.1</w:t>
            </w:r>
          </w:p>
        </w:tc>
        <w:tc>
          <w:tcPr>
            <w:tcW w:w="1726" w:type="dxa"/>
            <w:noWrap w:val="0"/>
            <w:vAlign w:val="center"/>
          </w:tcPr>
          <w:p>
            <w:pPr>
              <w:pStyle w:val="15"/>
              <w:spacing w:line="262" w:lineRule="exact"/>
              <w:ind w:left="5"/>
              <w:jc w:val="center"/>
              <w:rPr>
                <w:rFonts w:hint="eastAsia"/>
              </w:rPr>
            </w:pPr>
            <w:r>
              <w:rPr>
                <w:rFonts w:hint="eastAsia"/>
              </w:rPr>
              <w:t>签订合同</w:t>
            </w:r>
          </w:p>
        </w:tc>
        <w:tc>
          <w:tcPr>
            <w:tcW w:w="6606" w:type="dxa"/>
            <w:noWrap w:val="0"/>
            <w:vAlign w:val="center"/>
          </w:tcPr>
          <w:p>
            <w:pPr>
              <w:pStyle w:val="15"/>
              <w:spacing w:before="77"/>
              <w:ind w:left="107"/>
              <w:rPr>
                <w:rFonts w:hint="eastAsia"/>
              </w:rPr>
            </w:pPr>
            <w:r>
              <w:rPr>
                <w:rFonts w:hint="eastAsia"/>
                <w:spacing w:val="-4"/>
              </w:rPr>
              <w:t>在招标人发出中标通知书之日起</w:t>
            </w:r>
            <w:r>
              <w:rPr>
                <w:rFonts w:hint="eastAsia"/>
                <w:lang w:val="en-US"/>
              </w:rPr>
              <w:t>30</w:t>
            </w:r>
            <w:r>
              <w:rPr>
                <w:rFonts w:hint="eastAsia"/>
                <w:spacing w:val="-10"/>
              </w:rPr>
              <w:t>天内，中标人与招标人签订合同</w:t>
            </w:r>
          </w:p>
          <w:p>
            <w:pPr>
              <w:pStyle w:val="15"/>
              <w:spacing w:before="91" w:line="262" w:lineRule="exact"/>
              <w:ind w:left="107"/>
              <w:rPr>
                <w:rFonts w:hint="eastAsia"/>
              </w:rPr>
            </w:pPr>
            <w:r>
              <w:rPr>
                <w:rFonts w:hint="eastAsia"/>
              </w:rPr>
              <w:t>协议书。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
              <w:jc w:val="center"/>
              <w:rPr>
                <w:rFonts w:hint="eastAsia"/>
              </w:rPr>
            </w:pPr>
            <w:r>
              <w:rPr>
                <w:rFonts w:hint="eastAsia"/>
              </w:rPr>
              <w:t>8.5.1</w:t>
            </w:r>
          </w:p>
        </w:tc>
        <w:tc>
          <w:tcPr>
            <w:tcW w:w="1726" w:type="dxa"/>
            <w:noWrap w:val="0"/>
            <w:vAlign w:val="center"/>
          </w:tcPr>
          <w:p>
            <w:pPr>
              <w:pStyle w:val="15"/>
              <w:spacing w:line="262" w:lineRule="exact"/>
              <w:ind w:left="5"/>
              <w:jc w:val="center"/>
              <w:rPr>
                <w:rFonts w:hint="eastAsia"/>
              </w:rPr>
            </w:pPr>
            <w:r>
              <w:rPr>
                <w:rFonts w:hint="eastAsia"/>
              </w:rPr>
              <w:t>监督部门</w:t>
            </w:r>
          </w:p>
        </w:tc>
        <w:tc>
          <w:tcPr>
            <w:tcW w:w="6606" w:type="dxa"/>
            <w:noWrap w:val="0"/>
            <w:vAlign w:val="center"/>
          </w:tcPr>
          <w:p>
            <w:pPr>
              <w:pStyle w:val="15"/>
              <w:spacing w:before="91" w:line="262" w:lineRule="exact"/>
              <w:rPr>
                <w:rFonts w:hint="eastAsia"/>
                <w:lang w:val="en-US"/>
              </w:rPr>
            </w:pPr>
            <w:r>
              <w:rPr>
                <w:rFonts w:hint="eastAsia"/>
                <w:lang w:val="en-US"/>
              </w:rPr>
              <w:t xml:space="preserve"> 四川省交通建设集团股份有限公司纪检监察部。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
              <w:jc w:val="center"/>
              <w:rPr>
                <w:rFonts w:hint="eastAsia"/>
              </w:rPr>
            </w:pPr>
            <w:r>
              <w:rPr>
                <w:rFonts w:hint="eastAsia"/>
              </w:rPr>
              <w:t>9</w:t>
            </w:r>
          </w:p>
        </w:tc>
        <w:tc>
          <w:tcPr>
            <w:tcW w:w="1726" w:type="dxa"/>
            <w:noWrap w:val="0"/>
            <w:vAlign w:val="center"/>
          </w:tcPr>
          <w:p>
            <w:pPr>
              <w:pStyle w:val="15"/>
              <w:spacing w:line="262" w:lineRule="exact"/>
              <w:ind w:left="5"/>
              <w:jc w:val="center"/>
              <w:rPr>
                <w:rFonts w:hint="eastAsia"/>
              </w:rPr>
            </w:pPr>
            <w:r>
              <w:rPr>
                <w:rFonts w:hint="eastAsia"/>
              </w:rPr>
              <w:t>是否采用电子招标投标</w:t>
            </w:r>
          </w:p>
        </w:tc>
        <w:tc>
          <w:tcPr>
            <w:tcW w:w="6606" w:type="dxa"/>
            <w:noWrap w:val="0"/>
            <w:vAlign w:val="center"/>
          </w:tcPr>
          <w:p>
            <w:pPr>
              <w:pStyle w:val="15"/>
              <w:spacing w:before="78"/>
              <w:ind w:right="5608" w:firstLine="210" w:firstLineChars="100"/>
            </w:pPr>
            <w:r>
              <w:rPr>
                <w:rFonts w:hint="eastAsia"/>
                <w:szCs w:val="21"/>
                <w:lang w:val="en-US"/>
              </w:rPr>
              <w:sym w:font="Wingdings 2" w:char="00A3"/>
            </w:r>
            <w:r>
              <w:t>是</w:t>
            </w:r>
          </w:p>
          <w:p>
            <w:pPr>
              <w:pStyle w:val="15"/>
              <w:spacing w:before="91" w:line="262" w:lineRule="exact"/>
              <w:ind w:firstLine="210" w:firstLineChars="100"/>
              <w:rPr>
                <w:rFonts w:hint="eastAsia"/>
              </w:rPr>
            </w:pPr>
            <w:r>
              <w:rPr>
                <w:rFonts w:hint="eastAsia"/>
                <w:szCs w:val="21"/>
                <w:lang w:val="en-US"/>
              </w:rPr>
              <w:sym w:font="Wingdings 2" w:char="0052"/>
            </w: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291" w:type="dxa"/>
            <w:gridSpan w:val="3"/>
            <w:noWrap w:val="0"/>
            <w:vAlign w:val="center"/>
          </w:tcPr>
          <w:p>
            <w:pPr>
              <w:pStyle w:val="15"/>
              <w:spacing w:before="91" w:line="262" w:lineRule="exact"/>
              <w:ind w:left="548"/>
              <w:jc w:val="center"/>
              <w:rPr>
                <w:rFonts w:hint="eastAsia"/>
                <w:lang w:val="en-US" w:bidi="ar-SA"/>
              </w:rPr>
            </w:pPr>
            <w:r>
              <w:rPr>
                <w:rFonts w:hint="eastAsia"/>
                <w:lang w:val="en-US" w:bidi="ar-SA"/>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959" w:type="dxa"/>
            <w:noWrap w:val="0"/>
            <w:vAlign w:val="center"/>
          </w:tcPr>
          <w:p>
            <w:pPr>
              <w:pStyle w:val="15"/>
              <w:ind w:left="10"/>
              <w:jc w:val="center"/>
              <w:rPr>
                <w:rFonts w:hint="eastAsia"/>
                <w:lang w:val="en-US"/>
              </w:rPr>
            </w:pPr>
            <w:r>
              <w:rPr>
                <w:rFonts w:hint="eastAsia"/>
                <w:lang w:val="en-US"/>
              </w:rPr>
              <w:t>10.1</w:t>
            </w:r>
          </w:p>
        </w:tc>
        <w:tc>
          <w:tcPr>
            <w:tcW w:w="8332" w:type="dxa"/>
            <w:gridSpan w:val="2"/>
            <w:noWrap w:val="0"/>
            <w:vAlign w:val="center"/>
          </w:tcPr>
          <w:p>
            <w:pPr>
              <w:pStyle w:val="15"/>
              <w:spacing w:before="91" w:line="360" w:lineRule="auto"/>
              <w:rPr>
                <w:rFonts w:hint="eastAsia"/>
                <w:spacing w:val="-3"/>
                <w:lang w:val="en-US"/>
              </w:rPr>
            </w:pPr>
            <w:r>
              <w:rPr>
                <w:rFonts w:hint="eastAsia"/>
                <w:spacing w:val="-3"/>
                <w:lang w:val="en-US"/>
              </w:rPr>
              <w:t>出现下列特殊情况之一，招标人可以重新招标：</w:t>
            </w:r>
          </w:p>
          <w:p>
            <w:pPr>
              <w:pStyle w:val="15"/>
              <w:spacing w:before="91" w:line="360" w:lineRule="auto"/>
              <w:rPr>
                <w:rFonts w:hint="eastAsia"/>
                <w:spacing w:val="-3"/>
                <w:lang w:val="en-US"/>
              </w:rPr>
            </w:pPr>
            <w:r>
              <w:rPr>
                <w:rFonts w:hint="eastAsia"/>
                <w:spacing w:val="-3"/>
                <w:lang w:val="en-US"/>
              </w:rPr>
              <w:t>（1）投标截止时间止，递交投标文件的投标人少于三家的；</w:t>
            </w:r>
          </w:p>
          <w:p>
            <w:pPr>
              <w:pStyle w:val="15"/>
              <w:spacing w:before="91" w:line="360" w:lineRule="auto"/>
              <w:rPr>
                <w:rFonts w:hint="eastAsia"/>
                <w:spacing w:val="-3"/>
                <w:lang w:val="en-US"/>
              </w:rPr>
            </w:pPr>
            <w:r>
              <w:rPr>
                <w:rFonts w:hint="eastAsia"/>
                <w:spacing w:val="-3"/>
                <w:lang w:val="en-US"/>
              </w:rPr>
              <w:t>（2）经评标委员会评审后否决所有投标的；（有效中标候选人仅1家，且明显不具有竞争力的）</w:t>
            </w:r>
          </w:p>
          <w:p>
            <w:pPr>
              <w:pStyle w:val="15"/>
              <w:spacing w:before="91" w:line="360" w:lineRule="auto"/>
              <w:rPr>
                <w:rFonts w:hint="eastAsia"/>
                <w:spacing w:val="-3"/>
                <w:lang w:val="en-US"/>
              </w:rPr>
            </w:pPr>
            <w:r>
              <w:rPr>
                <w:rFonts w:hint="eastAsia"/>
                <w:spacing w:val="-3"/>
                <w:lang w:val="en-US"/>
              </w:rPr>
              <w:t>（3）评标委员会推荐的中标候选人均未与招标人签订合同的；</w:t>
            </w:r>
          </w:p>
          <w:p>
            <w:pPr>
              <w:pStyle w:val="15"/>
              <w:spacing w:before="91" w:line="360" w:lineRule="auto"/>
              <w:rPr>
                <w:rFonts w:hint="eastAsia"/>
                <w:lang w:val="en-US" w:bidi="ar-SA"/>
              </w:rPr>
            </w:pPr>
            <w:r>
              <w:rPr>
                <w:rFonts w:hint="eastAsia"/>
                <w:spacing w:val="-3"/>
                <w:lang w:val="en-US"/>
              </w:rPr>
              <w:t>（4）法律规定的其他情形。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jc w:val="center"/>
        </w:trPr>
        <w:tc>
          <w:tcPr>
            <w:tcW w:w="959" w:type="dxa"/>
            <w:noWrap w:val="0"/>
            <w:vAlign w:val="center"/>
          </w:tcPr>
          <w:p>
            <w:pPr>
              <w:pStyle w:val="15"/>
              <w:ind w:left="10"/>
              <w:jc w:val="center"/>
              <w:rPr>
                <w:rFonts w:hint="eastAsia"/>
                <w:lang w:val="en-US"/>
              </w:rPr>
            </w:pPr>
            <w:r>
              <w:rPr>
                <w:rFonts w:hint="eastAsia"/>
                <w:lang w:val="en-US"/>
              </w:rPr>
              <w:t>10.2</w:t>
            </w:r>
          </w:p>
        </w:tc>
        <w:tc>
          <w:tcPr>
            <w:tcW w:w="8332" w:type="dxa"/>
            <w:gridSpan w:val="2"/>
            <w:noWrap w:val="0"/>
            <w:vAlign w:val="center"/>
          </w:tcPr>
          <w:p>
            <w:pPr>
              <w:pStyle w:val="15"/>
              <w:spacing w:before="91" w:line="360" w:lineRule="auto"/>
              <w:rPr>
                <w:rFonts w:hint="eastAsia"/>
                <w:spacing w:val="-3"/>
                <w:lang w:val="en-US"/>
              </w:rPr>
            </w:pPr>
            <w:r>
              <w:rPr>
                <w:rFonts w:hint="eastAsia"/>
                <w:spacing w:val="-3"/>
                <w:lang w:val="en-US"/>
              </w:rPr>
              <w:t>投标人所递交的投标文件（包括有关资料、澄清）应真实可信，不存在虚假（包括隐瞒）。投标人声明不存在限制投标情形但被发现存在限制投标情形的，构成隐瞒，属于虚假投标行为。如投标文件存在虚假，在评标阶段，评标委员会应将该投标文件作否决投标处理；中标候选人确定后发现的，招标人可以取消中标候选人或中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959" w:type="dxa"/>
            <w:noWrap w:val="0"/>
            <w:vAlign w:val="center"/>
          </w:tcPr>
          <w:p>
            <w:pPr>
              <w:pStyle w:val="15"/>
              <w:ind w:left="10"/>
              <w:jc w:val="center"/>
              <w:rPr>
                <w:rFonts w:hint="eastAsia"/>
                <w:lang w:val="en-US"/>
              </w:rPr>
            </w:pPr>
            <w:r>
              <w:rPr>
                <w:rFonts w:hint="eastAsia"/>
                <w:lang w:val="en-US"/>
              </w:rPr>
              <w:t>10.3</w:t>
            </w:r>
          </w:p>
        </w:tc>
        <w:tc>
          <w:tcPr>
            <w:tcW w:w="8332" w:type="dxa"/>
            <w:gridSpan w:val="2"/>
            <w:noWrap w:val="0"/>
            <w:vAlign w:val="center"/>
          </w:tcPr>
          <w:p>
            <w:pPr>
              <w:pStyle w:val="15"/>
              <w:spacing w:before="91" w:line="360" w:lineRule="auto"/>
              <w:rPr>
                <w:rFonts w:hint="eastAsia"/>
                <w:spacing w:val="-3"/>
                <w:lang w:val="en-US"/>
              </w:rPr>
            </w:pPr>
            <w:r>
              <w:rPr>
                <w:rFonts w:hint="eastAsia"/>
                <w:spacing w:val="-3"/>
                <w:lang w:val="en-US"/>
              </w:rPr>
              <w:t>投标人在购买招标文件时登记投标人信息及有效的联系方式。至评标结果公示前，投标人必须保证其提供的联系方式处于工作状态，招标人不承担由于投标人联系中断给投标人带来的任何损失责任。</w:t>
            </w:r>
          </w:p>
        </w:tc>
      </w:tr>
    </w:tbl>
    <w:p>
      <w:pPr>
        <w:pStyle w:val="2"/>
        <w:spacing w:line="360" w:lineRule="auto"/>
        <w:ind w:firstLine="420" w:firstLineChars="200"/>
        <w:rPr>
          <w:rFonts w:hint="eastAsia" w:ascii="宋体" w:hAnsi="宋体" w:eastAsia="宋体" w:cs="宋体"/>
          <w:kern w:val="2"/>
          <w:sz w:val="21"/>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6"/>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6"/>
      <w:spacing w:line="14" w:lineRule="auto"/>
      <w:rPr>
        <w:rFonts w:ascii="宋体" w:hAnsi="宋体" w:cs="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6"/>
      <w:spacing w:line="14" w:lineRule="auto"/>
      <w:rPr>
        <w:rFonts w:ascii="宋体" w:hAnsi="宋体" w:cs="宋体"/>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ind w:left="631" w:hanging="525"/>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12" w:hanging="525"/>
      </w:pPr>
      <w:rPr>
        <w:rFonts w:hint="default"/>
        <w:lang w:val="zh-CN" w:eastAsia="zh-CN" w:bidi="zh-CN"/>
      </w:rPr>
    </w:lvl>
    <w:lvl w:ilvl="2" w:tentative="0">
      <w:start w:val="0"/>
      <w:numFmt w:val="bullet"/>
      <w:lvlText w:val="•"/>
      <w:lvlJc w:val="left"/>
      <w:pPr>
        <w:ind w:left="1785" w:hanging="525"/>
      </w:pPr>
      <w:rPr>
        <w:rFonts w:hint="default"/>
        <w:lang w:val="zh-CN" w:eastAsia="zh-CN" w:bidi="zh-CN"/>
      </w:rPr>
    </w:lvl>
    <w:lvl w:ilvl="3" w:tentative="0">
      <w:start w:val="0"/>
      <w:numFmt w:val="bullet"/>
      <w:lvlText w:val="•"/>
      <w:lvlJc w:val="left"/>
      <w:pPr>
        <w:ind w:left="2358" w:hanging="525"/>
      </w:pPr>
      <w:rPr>
        <w:rFonts w:hint="default"/>
        <w:lang w:val="zh-CN" w:eastAsia="zh-CN" w:bidi="zh-CN"/>
      </w:rPr>
    </w:lvl>
    <w:lvl w:ilvl="4" w:tentative="0">
      <w:start w:val="0"/>
      <w:numFmt w:val="bullet"/>
      <w:lvlText w:val="•"/>
      <w:lvlJc w:val="left"/>
      <w:pPr>
        <w:ind w:left="2931" w:hanging="525"/>
      </w:pPr>
      <w:rPr>
        <w:rFonts w:hint="default"/>
        <w:lang w:val="zh-CN" w:eastAsia="zh-CN" w:bidi="zh-CN"/>
      </w:rPr>
    </w:lvl>
    <w:lvl w:ilvl="5" w:tentative="0">
      <w:start w:val="0"/>
      <w:numFmt w:val="bullet"/>
      <w:lvlText w:val="•"/>
      <w:lvlJc w:val="left"/>
      <w:pPr>
        <w:ind w:left="3504" w:hanging="525"/>
      </w:pPr>
      <w:rPr>
        <w:rFonts w:hint="default"/>
        <w:lang w:val="zh-CN" w:eastAsia="zh-CN" w:bidi="zh-CN"/>
      </w:rPr>
    </w:lvl>
    <w:lvl w:ilvl="6" w:tentative="0">
      <w:start w:val="0"/>
      <w:numFmt w:val="bullet"/>
      <w:lvlText w:val="•"/>
      <w:lvlJc w:val="left"/>
      <w:pPr>
        <w:ind w:left="4076" w:hanging="525"/>
      </w:pPr>
      <w:rPr>
        <w:rFonts w:hint="default"/>
        <w:lang w:val="zh-CN" w:eastAsia="zh-CN" w:bidi="zh-CN"/>
      </w:rPr>
    </w:lvl>
    <w:lvl w:ilvl="7" w:tentative="0">
      <w:start w:val="0"/>
      <w:numFmt w:val="bullet"/>
      <w:lvlText w:val="•"/>
      <w:lvlJc w:val="left"/>
      <w:pPr>
        <w:ind w:left="4649" w:hanging="525"/>
      </w:pPr>
      <w:rPr>
        <w:rFonts w:hint="default"/>
        <w:lang w:val="zh-CN" w:eastAsia="zh-CN" w:bidi="zh-CN"/>
      </w:rPr>
    </w:lvl>
    <w:lvl w:ilvl="8" w:tentative="0">
      <w:start w:val="0"/>
      <w:numFmt w:val="bullet"/>
      <w:lvlText w:val="•"/>
      <w:lvlJc w:val="left"/>
      <w:pPr>
        <w:ind w:left="5222" w:hanging="525"/>
      </w:pPr>
      <w:rPr>
        <w:rFonts w:hint="default"/>
        <w:lang w:val="zh-CN" w:eastAsia="zh-CN" w:bidi="zh-CN"/>
      </w:rPr>
    </w:lvl>
  </w:abstractNum>
  <w:abstractNum w:abstractNumId="1">
    <w:nsid w:val="D7789C9A"/>
    <w:multiLevelType w:val="singleLevel"/>
    <w:tmpl w:val="D7789C9A"/>
    <w:lvl w:ilvl="0" w:tentative="0">
      <w:start w:val="1"/>
      <w:numFmt w:val="chineseCounting"/>
      <w:suff w:val="nothing"/>
      <w:lvlText w:val="%1、"/>
      <w:lvlJc w:val="left"/>
      <w:rPr>
        <w:rFonts w:hint="eastAsia"/>
      </w:rPr>
    </w:lvl>
  </w:abstractNum>
  <w:abstractNum w:abstractNumId="2">
    <w:nsid w:val="DCBA6B53"/>
    <w:multiLevelType w:val="multilevel"/>
    <w:tmpl w:val="DCBA6B53"/>
    <w:lvl w:ilvl="0" w:tentative="0">
      <w:start w:val="1"/>
      <w:numFmt w:val="decimal"/>
      <w:lvlText w:val="（%1）"/>
      <w:lvlJc w:val="left"/>
      <w:pPr>
        <w:ind w:left="631" w:hanging="525"/>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12" w:hanging="525"/>
      </w:pPr>
      <w:rPr>
        <w:rFonts w:hint="default"/>
        <w:lang w:val="zh-CN" w:eastAsia="zh-CN" w:bidi="zh-CN"/>
      </w:rPr>
    </w:lvl>
    <w:lvl w:ilvl="2" w:tentative="0">
      <w:start w:val="0"/>
      <w:numFmt w:val="bullet"/>
      <w:lvlText w:val="•"/>
      <w:lvlJc w:val="left"/>
      <w:pPr>
        <w:ind w:left="1785" w:hanging="525"/>
      </w:pPr>
      <w:rPr>
        <w:rFonts w:hint="default"/>
        <w:lang w:val="zh-CN" w:eastAsia="zh-CN" w:bidi="zh-CN"/>
      </w:rPr>
    </w:lvl>
    <w:lvl w:ilvl="3" w:tentative="0">
      <w:start w:val="0"/>
      <w:numFmt w:val="bullet"/>
      <w:lvlText w:val="•"/>
      <w:lvlJc w:val="left"/>
      <w:pPr>
        <w:ind w:left="2358" w:hanging="525"/>
      </w:pPr>
      <w:rPr>
        <w:rFonts w:hint="default"/>
        <w:lang w:val="zh-CN" w:eastAsia="zh-CN" w:bidi="zh-CN"/>
      </w:rPr>
    </w:lvl>
    <w:lvl w:ilvl="4" w:tentative="0">
      <w:start w:val="0"/>
      <w:numFmt w:val="bullet"/>
      <w:lvlText w:val="•"/>
      <w:lvlJc w:val="left"/>
      <w:pPr>
        <w:ind w:left="2931" w:hanging="525"/>
      </w:pPr>
      <w:rPr>
        <w:rFonts w:hint="default"/>
        <w:lang w:val="zh-CN" w:eastAsia="zh-CN" w:bidi="zh-CN"/>
      </w:rPr>
    </w:lvl>
    <w:lvl w:ilvl="5" w:tentative="0">
      <w:start w:val="0"/>
      <w:numFmt w:val="bullet"/>
      <w:lvlText w:val="•"/>
      <w:lvlJc w:val="left"/>
      <w:pPr>
        <w:ind w:left="3504" w:hanging="525"/>
      </w:pPr>
      <w:rPr>
        <w:rFonts w:hint="default"/>
        <w:lang w:val="zh-CN" w:eastAsia="zh-CN" w:bidi="zh-CN"/>
      </w:rPr>
    </w:lvl>
    <w:lvl w:ilvl="6" w:tentative="0">
      <w:start w:val="0"/>
      <w:numFmt w:val="bullet"/>
      <w:lvlText w:val="•"/>
      <w:lvlJc w:val="left"/>
      <w:pPr>
        <w:ind w:left="4076" w:hanging="525"/>
      </w:pPr>
      <w:rPr>
        <w:rFonts w:hint="default"/>
        <w:lang w:val="zh-CN" w:eastAsia="zh-CN" w:bidi="zh-CN"/>
      </w:rPr>
    </w:lvl>
    <w:lvl w:ilvl="7" w:tentative="0">
      <w:start w:val="0"/>
      <w:numFmt w:val="bullet"/>
      <w:lvlText w:val="•"/>
      <w:lvlJc w:val="left"/>
      <w:pPr>
        <w:ind w:left="4649" w:hanging="525"/>
      </w:pPr>
      <w:rPr>
        <w:rFonts w:hint="default"/>
        <w:lang w:val="zh-CN" w:eastAsia="zh-CN" w:bidi="zh-CN"/>
      </w:rPr>
    </w:lvl>
    <w:lvl w:ilvl="8" w:tentative="0">
      <w:start w:val="0"/>
      <w:numFmt w:val="bullet"/>
      <w:lvlText w:val="•"/>
      <w:lvlJc w:val="left"/>
      <w:pPr>
        <w:ind w:left="5222" w:hanging="525"/>
      </w:pPr>
      <w:rPr>
        <w:rFonts w:hint="default"/>
        <w:lang w:val="zh-CN" w:eastAsia="zh-CN" w:bidi="zh-CN"/>
      </w:rPr>
    </w:lvl>
  </w:abstractNum>
  <w:abstractNum w:abstractNumId="3">
    <w:nsid w:val="6292ACA0"/>
    <w:multiLevelType w:val="multilevel"/>
    <w:tmpl w:val="6292ACA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ACC7E6B"/>
    <w:multiLevelType w:val="singleLevel"/>
    <w:tmpl w:val="7ACC7E6B"/>
    <w:lvl w:ilvl="0" w:tentative="0">
      <w:start w:val="1"/>
      <w:numFmt w:val="decimal"/>
      <w:suff w:val="nothing"/>
      <w:lvlText w:val="（%1）"/>
      <w:lvlJc w:val="left"/>
      <w:pPr>
        <w:ind w:left="21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000000"/>
    <w:rsid w:val="2985684D"/>
    <w:rsid w:val="5A0B7DE2"/>
    <w:rsid w:val="695631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6">
    <w:name w:val="Body Text"/>
    <w:basedOn w:val="1"/>
    <w:next w:val="1"/>
    <w:qFormat/>
    <w:uiPriority w:val="0"/>
    <w:pPr>
      <w:spacing w:after="120"/>
    </w:pPr>
    <w:rPr>
      <w:szCs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12">
    <w:name w:val="Hyperlink"/>
    <w:qFormat/>
    <w:uiPriority w:val="99"/>
    <w:rPr>
      <w:color w:val="0000FF"/>
      <w:u w:val="single"/>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p0"/>
    <w:basedOn w:val="1"/>
    <w:qFormat/>
    <w:uiPriority w:val="99"/>
    <w:pPr>
      <w:widowControl/>
      <w:jc w:val="left"/>
    </w:pPr>
    <w:rPr>
      <w:rFonts w:cs="宋体"/>
      <w:kern w:val="0"/>
      <w:szCs w:val="21"/>
    </w:rPr>
  </w:style>
  <w:style w:type="paragraph" w:customStyle="1" w:styleId="1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7388</Words>
  <Characters>8264</Characters>
  <Lines>0</Lines>
  <Paragraphs>0</Paragraphs>
  <TotalTime>14</TotalTime>
  <ScaleCrop>false</ScaleCrop>
  <LinksUpToDate>false</LinksUpToDate>
  <CharactersWithSpaces>8453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2022-07-12T02:24:36Z</dcterms:created>
  <dc:creator>admin</dc:creator>
  <cp:lastModifiedBy>WPS_1656403821</cp:lastModifiedBy>
  <dcterms:modified xsi:type="dcterms:W3CDTF">2022-07-12T03:32:45Z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2CFDFBA6F40D40F194334BAC0AAB538D</vt:lpwstr>
  </property>
</Properties>
</file>