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ind w:left="0"/>
        <w:jc w:val="center"/>
        <w:textAlignment w:val="auto"/>
        <w:rPr>
          <w:rFonts w:ascii="Times New Roman"/>
          <w:b w:val="0"/>
          <w:bCs/>
          <w:sz w:val="13"/>
          <w:szCs w:val="18"/>
        </w:rPr>
      </w:pPr>
      <w:r>
        <w:rPr>
          <w:rFonts w:hint="eastAsia" w:ascii="仿宋_GB2312" w:hAnsi="黑体" w:cs="黑体"/>
          <w:b/>
          <w:bCs/>
          <w:sz w:val="72"/>
          <w:szCs w:val="72"/>
        </w:rPr>
        <w:drawing>
          <wp:anchor distT="0" distB="0" distL="0" distR="0" simplePos="0" relativeHeight="251660288" behindDoc="0" locked="0" layoutInCell="1" allowOverlap="1">
            <wp:simplePos x="0" y="0"/>
            <wp:positionH relativeFrom="column">
              <wp:posOffset>276225</wp:posOffset>
            </wp:positionH>
            <wp:positionV relativeFrom="paragraph">
              <wp:posOffset>-146050</wp:posOffset>
            </wp:positionV>
            <wp:extent cx="709930" cy="513080"/>
            <wp:effectExtent l="0" t="0" r="6350" b="508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7">
                      <a:extLst>
                        <a:ext uri="{28A0092B-C50C-407E-A947-70E740481C1C}">
                          <a14:useLocalDpi xmlns:a14="http://schemas.microsoft.com/office/drawing/2010/main" val="0"/>
                        </a:ext>
                      </a:extLst>
                    </a:blip>
                    <a:srcRect r="16643"/>
                    <a:stretch>
                      <a:fillRect/>
                    </a:stretch>
                  </pic:blipFill>
                  <pic:spPr>
                    <a:xfrm>
                      <a:off x="0" y="0"/>
                      <a:ext cx="709930" cy="513080"/>
                    </a:xfrm>
                    <a:prstGeom prst="rect">
                      <a:avLst/>
                    </a:prstGeom>
                    <a:ln>
                      <a:noFill/>
                    </a:ln>
                  </pic:spPr>
                </pic:pic>
              </a:graphicData>
            </a:graphic>
          </wp:anchor>
        </w:drawing>
      </w:r>
      <w:r>
        <w:rPr>
          <w:rFonts w:hint="eastAsia" w:ascii="仿宋_GB2312" w:hAnsi="黑体" w:cs="黑体"/>
          <w:b/>
          <w:bCs/>
          <w:sz w:val="44"/>
          <w:szCs w:val="44"/>
          <w:lang w:val="en-US" w:eastAsia="zh-CN"/>
        </w:rPr>
        <w:t xml:space="preserve">    </w:t>
      </w:r>
      <w:r>
        <w:rPr>
          <w:rFonts w:hint="eastAsia" w:ascii="仿宋_GB2312" w:hAnsi="黑体" w:cs="黑体"/>
          <w:b/>
          <w:bCs/>
          <w:sz w:val="44"/>
          <w:szCs w:val="44"/>
          <w:lang w:eastAsia="zh-CN"/>
        </w:rPr>
        <w:t>四川省交通建设集团股份有限公司</w:t>
      </w:r>
    </w:p>
    <w:p>
      <w:pPr>
        <w:tabs>
          <w:tab w:val="left" w:pos="3480"/>
          <w:tab w:val="left" w:pos="4520"/>
          <w:tab w:val="left" w:pos="5560"/>
        </w:tabs>
        <w:autoSpaceDE w:val="0"/>
        <w:autoSpaceDN w:val="0"/>
        <w:adjustRightInd w:val="0"/>
        <w:spacing w:line="360" w:lineRule="auto"/>
        <w:jc w:val="center"/>
        <w:rPr>
          <w:color w:val="auto"/>
          <w:highlight w:val="none"/>
        </w:rPr>
      </w:pPr>
      <w:r>
        <w:rPr>
          <w:rFonts w:hint="eastAsia"/>
          <w:color w:val="auto"/>
          <w:highlight w:val="none"/>
        </w:rPr>
        <w:t xml:space="preserve">    </w:t>
      </w: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rFonts w:hint="eastAsia" w:ascii="仿宋" w:hAnsi="仿宋" w:eastAsia="仿宋" w:cs="仿宋"/>
          <w:b/>
          <w:bCs/>
          <w:color w:val="auto"/>
          <w:kern w:val="0"/>
          <w:sz w:val="44"/>
          <w:szCs w:val="44"/>
          <w:highlight w:val="none"/>
          <w:lang w:eastAsia="zh-CN"/>
        </w:rPr>
      </w:pPr>
      <w:r>
        <w:rPr>
          <w:rFonts w:hint="eastAsia" w:ascii="黑体" w:hAnsi="黑体" w:eastAsia="黑体" w:cs="黑体"/>
          <w:b/>
          <w:bCs/>
          <w:color w:val="auto"/>
          <w:kern w:val="0"/>
          <w:sz w:val="44"/>
          <w:szCs w:val="44"/>
          <w:highlight w:val="none"/>
          <w:lang w:val="en-US" w:eastAsia="zh-CN"/>
        </w:rPr>
        <w:t>广巴高速公路巴中南出口边坡、巴中管理处边坡病害处治工程</w:t>
      </w:r>
      <w:r>
        <w:rPr>
          <w:rFonts w:hint="eastAsia" w:ascii="黑体" w:hAnsi="黑体" w:eastAsia="黑体" w:cs="黑体"/>
          <w:b/>
          <w:bCs/>
          <w:color w:val="auto"/>
          <w:kern w:val="0"/>
          <w:sz w:val="44"/>
          <w:szCs w:val="44"/>
          <w:highlight w:val="none"/>
          <w:lang w:eastAsia="zh-CN"/>
        </w:rPr>
        <w:t>劳务合作项目</w:t>
      </w:r>
    </w:p>
    <w:p>
      <w:pPr>
        <w:pStyle w:val="2"/>
        <w:rPr>
          <w:b/>
          <w:bCs/>
          <w:color w:val="auto"/>
          <w:sz w:val="21"/>
          <w:szCs w:val="24"/>
          <w:highlight w:val="none"/>
        </w:rPr>
      </w:pPr>
    </w:p>
    <w:p>
      <w:pPr>
        <w:tabs>
          <w:tab w:val="left" w:pos="3480"/>
          <w:tab w:val="left" w:pos="4520"/>
          <w:tab w:val="left" w:pos="5560"/>
        </w:tabs>
        <w:autoSpaceDE w:val="0"/>
        <w:autoSpaceDN w:val="0"/>
        <w:adjustRightInd w:val="0"/>
        <w:spacing w:line="360" w:lineRule="auto"/>
        <w:jc w:val="center"/>
        <w:rPr>
          <w:rFonts w:ascii="仿宋" w:hAnsi="仿宋" w:eastAsia="仿宋" w:cs="仿宋"/>
          <w:b/>
          <w:bCs/>
          <w:color w:val="auto"/>
          <w:kern w:val="10"/>
          <w:sz w:val="52"/>
          <w:szCs w:val="52"/>
          <w:highlight w:val="none"/>
        </w:rPr>
      </w:pPr>
    </w:p>
    <w:p>
      <w:pPr>
        <w:tabs>
          <w:tab w:val="left" w:pos="3480"/>
          <w:tab w:val="left" w:pos="4520"/>
          <w:tab w:val="left" w:pos="5560"/>
        </w:tabs>
        <w:autoSpaceDE w:val="0"/>
        <w:autoSpaceDN w:val="0"/>
        <w:adjustRightInd w:val="0"/>
        <w:spacing w:line="360" w:lineRule="auto"/>
        <w:jc w:val="center"/>
        <w:rPr>
          <w:rFonts w:hint="eastAsia" w:ascii="黑体" w:hAnsi="黑体" w:eastAsia="黑体" w:cs="黑体"/>
          <w:b/>
          <w:bCs/>
          <w:color w:val="auto"/>
          <w:kern w:val="0"/>
          <w:sz w:val="44"/>
          <w:szCs w:val="44"/>
          <w:highlight w:val="none"/>
          <w:lang w:val="en-US" w:eastAsia="zh-CN"/>
        </w:rPr>
      </w:pPr>
      <w:r>
        <w:rPr>
          <w:rFonts w:hint="eastAsia" w:ascii="仿宋" w:hAnsi="仿宋" w:eastAsia="仿宋" w:cs="仿宋"/>
          <w:b/>
          <w:bCs/>
          <w:color w:val="auto"/>
          <w:kern w:val="0"/>
          <w:sz w:val="72"/>
          <w:szCs w:val="72"/>
          <w:highlight w:val="none"/>
          <w:lang w:val="en-US" w:eastAsia="zh-CN"/>
        </w:rPr>
        <w:t xml:space="preserve"> </w:t>
      </w:r>
      <w:r>
        <w:rPr>
          <w:rFonts w:hint="eastAsia" w:ascii="黑体" w:hAnsi="黑体" w:eastAsia="黑体" w:cs="黑体"/>
          <w:b/>
          <w:bCs/>
          <w:color w:val="auto"/>
          <w:kern w:val="0"/>
          <w:sz w:val="44"/>
          <w:szCs w:val="44"/>
          <w:highlight w:val="none"/>
        </w:rPr>
        <w:t xml:space="preserve">招 标 </w:t>
      </w:r>
      <w:r>
        <w:rPr>
          <w:rFonts w:hint="eastAsia" w:ascii="黑体" w:hAnsi="黑体" w:eastAsia="黑体" w:cs="黑体"/>
          <w:b/>
          <w:bCs/>
          <w:color w:val="auto"/>
          <w:kern w:val="0"/>
          <w:sz w:val="44"/>
          <w:szCs w:val="44"/>
          <w:highlight w:val="none"/>
          <w:lang w:val="en-US" w:eastAsia="zh-CN"/>
        </w:rPr>
        <w:t xml:space="preserve">公 </w:t>
      </w:r>
      <w:bookmarkStart w:id="0" w:name="_GoBack"/>
      <w:bookmarkEnd w:id="0"/>
      <w:r>
        <w:rPr>
          <w:rFonts w:hint="eastAsia" w:ascii="黑体" w:hAnsi="黑体" w:eastAsia="黑体" w:cs="黑体"/>
          <w:b/>
          <w:bCs/>
          <w:color w:val="auto"/>
          <w:kern w:val="0"/>
          <w:sz w:val="44"/>
          <w:szCs w:val="44"/>
          <w:highlight w:val="none"/>
          <w:lang w:val="en-US" w:eastAsia="zh-CN"/>
        </w:rPr>
        <w:t>告</w:t>
      </w:r>
    </w:p>
    <w:p>
      <w:pPr>
        <w:tabs>
          <w:tab w:val="left" w:pos="4440"/>
        </w:tabs>
        <w:autoSpaceDE w:val="0"/>
        <w:autoSpaceDN w:val="0"/>
        <w:adjustRightInd w:val="0"/>
        <w:spacing w:after="120" w:afterLines="50" w:line="360" w:lineRule="auto"/>
        <w:jc w:val="left"/>
        <w:rPr>
          <w:rFonts w:ascii="仿宋" w:hAnsi="仿宋" w:eastAsia="仿宋" w:cs="仿宋"/>
          <w:color w:val="auto"/>
          <w:kern w:val="0"/>
          <w:sz w:val="28"/>
          <w:szCs w:val="28"/>
          <w:highlight w:val="none"/>
        </w:rPr>
      </w:pPr>
    </w:p>
    <w:p>
      <w:pPr>
        <w:tabs>
          <w:tab w:val="left" w:pos="4440"/>
        </w:tabs>
        <w:autoSpaceDE w:val="0"/>
        <w:autoSpaceDN w:val="0"/>
        <w:adjustRightInd w:val="0"/>
        <w:spacing w:after="120" w:afterLines="50" w:line="360" w:lineRule="auto"/>
        <w:rPr>
          <w:rFonts w:ascii="仿宋" w:hAnsi="仿宋" w:eastAsia="仿宋" w:cs="仿宋"/>
          <w:color w:val="auto"/>
          <w:kern w:val="0"/>
          <w:sz w:val="28"/>
          <w:szCs w:val="28"/>
          <w:highlight w:val="none"/>
        </w:rPr>
      </w:pPr>
    </w:p>
    <w:p>
      <w:pPr>
        <w:pStyle w:val="2"/>
        <w:rPr>
          <w:color w:val="auto"/>
          <w:highlight w:val="none"/>
        </w:rPr>
      </w:pPr>
    </w:p>
    <w:p>
      <w:pPr>
        <w:pStyle w:val="2"/>
        <w:rPr>
          <w:color w:val="auto"/>
          <w:highlight w:val="none"/>
        </w:rPr>
      </w:pPr>
    </w:p>
    <w:p>
      <w:pPr>
        <w:pStyle w:val="2"/>
        <w:rPr>
          <w:rFonts w:cs="仿宋"/>
          <w:color w:val="auto"/>
          <w:sz w:val="28"/>
          <w:szCs w:val="28"/>
          <w:highlight w:val="none"/>
        </w:rPr>
      </w:pPr>
    </w:p>
    <w:p>
      <w:pPr>
        <w:pStyle w:val="2"/>
        <w:ind w:firstLine="0"/>
        <w:rPr>
          <w:rFonts w:cs="仿宋"/>
          <w:color w:val="auto"/>
          <w:sz w:val="28"/>
          <w:szCs w:val="28"/>
          <w:highlight w:val="none"/>
        </w:rPr>
      </w:pPr>
    </w:p>
    <w:p>
      <w:pPr>
        <w:rPr>
          <w:rFonts w:cs="仿宋"/>
          <w:color w:val="auto"/>
          <w:sz w:val="28"/>
          <w:szCs w:val="28"/>
          <w:highlight w:val="none"/>
        </w:rPr>
      </w:pPr>
    </w:p>
    <w:p>
      <w:pPr>
        <w:pStyle w:val="2"/>
        <w:rPr>
          <w:rFonts w:cs="仿宋"/>
          <w:color w:val="auto"/>
          <w:sz w:val="28"/>
          <w:szCs w:val="28"/>
          <w:highlight w:val="none"/>
        </w:rPr>
      </w:pPr>
    </w:p>
    <w:p>
      <w:pPr>
        <w:rPr>
          <w:rFonts w:cs="仿宋"/>
          <w:color w:val="auto"/>
          <w:sz w:val="28"/>
          <w:szCs w:val="28"/>
          <w:highlight w:val="none"/>
        </w:rPr>
      </w:pPr>
    </w:p>
    <w:p>
      <w:pPr>
        <w:pStyle w:val="2"/>
        <w:rPr>
          <w:rFonts w:cs="仿宋"/>
          <w:color w:val="auto"/>
          <w:sz w:val="28"/>
          <w:szCs w:val="28"/>
          <w:highlight w:val="none"/>
        </w:rPr>
      </w:pPr>
    </w:p>
    <w:p>
      <w:pPr>
        <w:rPr>
          <w:rFonts w:cs="仿宋"/>
          <w:color w:val="auto"/>
          <w:sz w:val="28"/>
          <w:szCs w:val="28"/>
          <w:highlight w:val="none"/>
        </w:rPr>
      </w:pPr>
    </w:p>
    <w:p>
      <w:pPr>
        <w:pStyle w:val="2"/>
      </w:pPr>
    </w:p>
    <w:p>
      <w:pPr>
        <w:pStyle w:val="2"/>
        <w:rPr>
          <w:rFonts w:cs="仿宋"/>
          <w:color w:val="auto"/>
          <w:sz w:val="28"/>
          <w:szCs w:val="28"/>
          <w:highlight w:val="none"/>
        </w:rPr>
      </w:pPr>
    </w:p>
    <w:p>
      <w:pPr>
        <w:widowControl/>
        <w:spacing w:line="360" w:lineRule="auto"/>
        <w:ind w:firstLine="643" w:firstLineChars="200"/>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 xml:space="preserve">招标人： </w:t>
      </w:r>
      <w:r>
        <w:rPr>
          <w:rFonts w:hint="eastAsia" w:ascii="宋体" w:hAnsi="宋体" w:cs="宋体"/>
          <w:b/>
          <w:bCs/>
          <w:color w:val="auto"/>
          <w:sz w:val="32"/>
          <w:szCs w:val="32"/>
          <w:highlight w:val="none"/>
          <w:lang w:eastAsia="zh-CN"/>
        </w:rPr>
        <w:t>四川省交通建设集团股份有限公司</w:t>
      </w:r>
    </w:p>
    <w:p>
      <w:pPr>
        <w:widowControl/>
        <w:spacing w:line="360" w:lineRule="auto"/>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202</w:t>
      </w:r>
      <w:r>
        <w:rPr>
          <w:rFonts w:hint="eastAsia" w:ascii="宋体" w:hAnsi="宋体" w:cs="宋体"/>
          <w:b/>
          <w:bCs/>
          <w:color w:val="auto"/>
          <w:sz w:val="32"/>
          <w:szCs w:val="32"/>
          <w:highlight w:val="none"/>
          <w:lang w:val="en-US" w:eastAsia="zh-CN"/>
        </w:rPr>
        <w:t>2</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rPr>
        <w:t>月</w:t>
      </w:r>
    </w:p>
    <w:p>
      <w:pPr>
        <w:pStyle w:val="2"/>
        <w:rPr>
          <w:rFonts w:hint="eastAsia" w:ascii="宋体" w:hAnsi="宋体" w:cs="宋体"/>
          <w:b/>
          <w:bCs/>
          <w:color w:val="auto"/>
          <w:sz w:val="32"/>
          <w:szCs w:val="32"/>
          <w:highlight w:val="none"/>
        </w:rPr>
      </w:pPr>
    </w:p>
    <w:p>
      <w:pPr>
        <w:rPr>
          <w:rFonts w:hint="eastAsia" w:ascii="宋体" w:hAnsi="宋体" w:cs="宋体"/>
          <w:b/>
          <w:bCs/>
          <w:color w:val="auto"/>
          <w:sz w:val="32"/>
          <w:szCs w:val="32"/>
          <w:highlight w:val="none"/>
        </w:rPr>
      </w:pPr>
    </w:p>
    <w:p>
      <w:pPr>
        <w:pStyle w:val="2"/>
        <w:rPr>
          <w:rFonts w:hint="eastAsia" w:ascii="宋体" w:hAnsi="宋体" w:cs="宋体"/>
          <w:b/>
          <w:bCs/>
          <w:color w:val="auto"/>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sz w:val="32"/>
        </w:rPr>
      </w:pPr>
      <w:r>
        <w:rPr>
          <w:rFonts w:hint="eastAsia"/>
          <w:b/>
          <w:sz w:val="32"/>
          <w:lang w:val="en-US" w:eastAsia="zh-CN"/>
        </w:rPr>
        <w:t>广巴高速公路巴中南出口边坡、巴中管理处边坡病害处治工程劳务合作项目</w:t>
      </w:r>
      <w:r>
        <w:rPr>
          <w:b/>
          <w:sz w:val="32"/>
        </w:rPr>
        <w:t>招标公告</w:t>
      </w:r>
    </w:p>
    <w:p>
      <w:pPr>
        <w:tabs>
          <w:tab w:val="left" w:pos="3480"/>
          <w:tab w:val="left" w:pos="4520"/>
          <w:tab w:val="left" w:pos="5560"/>
        </w:tabs>
        <w:autoSpaceDE w:val="0"/>
        <w:autoSpaceDN w:val="0"/>
        <w:adjustRightInd w:val="0"/>
        <w:spacing w:line="360" w:lineRule="auto"/>
        <w:ind w:firstLine="492" w:firstLineChars="175"/>
        <w:rPr>
          <w:rFonts w:hint="eastAsia" w:ascii="仿宋" w:hAnsi="仿宋" w:eastAsia="仿宋" w:cs="仿宋"/>
          <w:b/>
          <w:bCs w:val="0"/>
          <w:sz w:val="28"/>
          <w:szCs w:val="28"/>
          <w:lang w:val="en-US" w:eastAsia="zh-CN"/>
        </w:rPr>
      </w:pPr>
    </w:p>
    <w:p>
      <w:pPr>
        <w:pStyle w:val="11"/>
        <w:keepNext w:val="0"/>
        <w:keepLines w:val="0"/>
        <w:pageBreakBefore w:val="0"/>
        <w:widowControl w:val="0"/>
        <w:numPr>
          <w:ilvl w:val="0"/>
          <w:numId w:val="1"/>
        </w:numPr>
        <w:tabs>
          <w:tab w:val="left" w:pos="783"/>
        </w:tabs>
        <w:kinsoku/>
        <w:wordWrap/>
        <w:overflowPunct/>
        <w:topLinePunct w:val="0"/>
        <w:bidi w:val="0"/>
        <w:snapToGrid/>
        <w:spacing w:after="0" w:line="360" w:lineRule="auto"/>
        <w:ind w:left="0" w:right="0" w:firstLine="482" w:firstLineChars="200"/>
        <w:jc w:val="both"/>
        <w:textAlignment w:val="auto"/>
        <w:rPr>
          <w:b/>
          <w:sz w:val="24"/>
        </w:rPr>
      </w:pPr>
      <w:r>
        <w:rPr>
          <w:b/>
          <w:sz w:val="24"/>
        </w:rPr>
        <w:t>项目概况</w:t>
      </w:r>
    </w:p>
    <w:p>
      <w:pPr>
        <w:pStyle w:val="11"/>
        <w:keepNext w:val="0"/>
        <w:keepLines w:val="0"/>
        <w:pageBreakBefore w:val="0"/>
        <w:widowControl w:val="0"/>
        <w:numPr>
          <w:ilvl w:val="1"/>
          <w:numId w:val="1"/>
        </w:numPr>
        <w:tabs>
          <w:tab w:val="left" w:pos="903"/>
        </w:tabs>
        <w:kinsoku/>
        <w:wordWrap/>
        <w:overflowPunct/>
        <w:topLinePunct w:val="0"/>
        <w:bidi w:val="0"/>
        <w:snapToGrid/>
        <w:spacing w:after="0" w:line="360" w:lineRule="auto"/>
        <w:ind w:left="0" w:right="0" w:firstLine="466" w:firstLineChars="200"/>
        <w:jc w:val="left"/>
        <w:textAlignment w:val="auto"/>
        <w:rPr>
          <w:b/>
          <w:sz w:val="24"/>
        </w:rPr>
      </w:pPr>
      <w:r>
        <w:rPr>
          <w:b/>
          <w:spacing w:val="-4"/>
          <w:sz w:val="24"/>
        </w:rPr>
        <w:t>工程概况：</w:t>
      </w:r>
    </w:p>
    <w:p>
      <w:pPr>
        <w:keepNext w:val="0"/>
        <w:keepLines w:val="0"/>
        <w:widowControl/>
        <w:suppressLineNumbers w:val="0"/>
        <w:spacing w:line="360" w:lineRule="auto"/>
        <w:ind w:firstLine="480" w:firstLineChars="200"/>
        <w:jc w:val="both"/>
        <w:rPr>
          <w:rFonts w:hint="default" w:cs="Times New Roman"/>
          <w:kern w:val="2"/>
          <w:sz w:val="24"/>
          <w:szCs w:val="32"/>
          <w:lang w:val="en-US" w:eastAsia="zh-CN" w:bidi="ar-SA"/>
        </w:rPr>
      </w:pPr>
      <w:r>
        <w:rPr>
          <w:rFonts w:hint="eastAsia" w:cs="Times New Roman"/>
          <w:kern w:val="2"/>
          <w:sz w:val="24"/>
          <w:szCs w:val="32"/>
          <w:lang w:val="en-US" w:eastAsia="zh-CN" w:bidi="ar-SA"/>
        </w:rPr>
        <w:t>广巴高速公路巴中管理处管理用房背后边坡高度约 12m，坡度 35°-40°，原设计边坡坡 面做实体护坡，坡脚设置了护脚挡墙，因连续降雨，导致护面墙坡脚产生位移，护脚墙开裂。广巴高速公路巴中南出口边坡边坡高度 70m，地形陡峭，砂岩裸露，经常出现岩崩塌落石，严重危及道路行车安全本工程主要施工内容为，巴中南出口边坡：仰斜式路堑挡墙+被动防护网防护；广巴高速公路巴中管理处：锚杆框架梁+护脚墙。</w:t>
      </w:r>
    </w:p>
    <w:p>
      <w:pPr>
        <w:pStyle w:val="3"/>
        <w:keepNext w:val="0"/>
        <w:keepLines w:val="0"/>
        <w:pageBreakBefore w:val="0"/>
        <w:widowControl w:val="0"/>
        <w:numPr>
          <w:ilvl w:val="0"/>
          <w:numId w:val="1"/>
        </w:numPr>
        <w:tabs>
          <w:tab w:val="left" w:pos="78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招标范围及其他要求：</w:t>
      </w:r>
    </w:p>
    <w:p>
      <w:pPr>
        <w:pStyle w:val="11"/>
        <w:keepNext w:val="0"/>
        <w:keepLines w:val="0"/>
        <w:pageBreakBefore w:val="0"/>
        <w:widowControl w:val="0"/>
        <w:numPr>
          <w:ilvl w:val="1"/>
          <w:numId w:val="1"/>
        </w:numPr>
        <w:tabs>
          <w:tab w:val="left" w:pos="903"/>
        </w:tabs>
        <w:kinsoku/>
        <w:wordWrap/>
        <w:overflowPunct/>
        <w:topLinePunct w:val="0"/>
        <w:bidi w:val="0"/>
        <w:snapToGrid/>
        <w:spacing w:after="0" w:line="360" w:lineRule="auto"/>
        <w:ind w:left="0" w:right="0" w:firstLine="482" w:firstLineChars="200"/>
        <w:jc w:val="both"/>
        <w:textAlignment w:val="auto"/>
        <w:rPr>
          <w:b/>
          <w:sz w:val="24"/>
        </w:rPr>
      </w:pPr>
      <w:r>
        <w:rPr>
          <w:b/>
          <w:sz w:val="24"/>
        </w:rPr>
        <w:t>招标范围与分段划分及工期：</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sz w:val="24"/>
          <w:szCs w:val="32"/>
          <w:highlight w:val="none"/>
        </w:rPr>
      </w:pPr>
      <w:r>
        <w:rPr>
          <w:rFonts w:hint="eastAsia"/>
          <w:sz w:val="24"/>
          <w:szCs w:val="32"/>
          <w:lang w:val="en-US" w:eastAsia="zh-CN"/>
        </w:rPr>
        <w:t xml:space="preserve">       </w:t>
      </w:r>
      <w:r>
        <w:rPr>
          <w:sz w:val="24"/>
          <w:szCs w:val="32"/>
        </w:rPr>
        <w:t>本次招标为</w:t>
      </w:r>
      <w:r>
        <w:rPr>
          <w:rFonts w:hint="eastAsia"/>
          <w:sz w:val="24"/>
          <w:szCs w:val="32"/>
          <w:lang w:val="en-US" w:eastAsia="zh-CN"/>
        </w:rPr>
        <w:t>广巴高速公路巴中南出口边坡、巴中管理处边坡病害处治工程劳务合作项目</w:t>
      </w:r>
      <w:r>
        <w:rPr>
          <w:sz w:val="24"/>
          <w:szCs w:val="32"/>
        </w:rPr>
        <w:t>。本次招标共计</w:t>
      </w:r>
      <w:r>
        <w:rPr>
          <w:rFonts w:hint="eastAsia"/>
          <w:sz w:val="24"/>
          <w:szCs w:val="32"/>
          <w:lang w:val="en-US" w:eastAsia="zh-CN"/>
        </w:rPr>
        <w:t>1</w:t>
      </w:r>
      <w:r>
        <w:rPr>
          <w:sz w:val="24"/>
          <w:szCs w:val="32"/>
        </w:rPr>
        <w:t>个分段，</w:t>
      </w:r>
      <w:r>
        <w:rPr>
          <w:rFonts w:hint="eastAsia"/>
          <w:sz w:val="24"/>
          <w:szCs w:val="32"/>
          <w:lang w:val="en-US" w:eastAsia="zh-CN"/>
        </w:rPr>
        <w:t>标段号：2022-CB-05。</w:t>
      </w:r>
      <w:r>
        <w:rPr>
          <w:sz w:val="24"/>
          <w:szCs w:val="32"/>
        </w:rPr>
        <w:t>开工时间以业主开工令为准，工程工期</w:t>
      </w:r>
      <w:r>
        <w:rPr>
          <w:sz w:val="24"/>
          <w:szCs w:val="32"/>
          <w:highlight w:val="none"/>
        </w:rPr>
        <w:t>时间为</w:t>
      </w:r>
      <w:r>
        <w:rPr>
          <w:rFonts w:hint="eastAsia"/>
          <w:sz w:val="24"/>
          <w:szCs w:val="32"/>
          <w:highlight w:val="none"/>
          <w:lang w:val="en-US" w:eastAsia="zh-CN"/>
        </w:rPr>
        <w:t xml:space="preserve"> 3</w:t>
      </w:r>
      <w:r>
        <w:rPr>
          <w:sz w:val="24"/>
          <w:szCs w:val="32"/>
          <w:highlight w:val="none"/>
        </w:rPr>
        <w:t>个月。</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2.</w:t>
      </w:r>
      <w:r>
        <w:rPr>
          <w:rFonts w:hint="eastAsia"/>
          <w:b/>
          <w:sz w:val="24"/>
          <w:lang w:val="en-US" w:eastAsia="zh-CN"/>
        </w:rPr>
        <w:t>1</w:t>
      </w:r>
      <w:r>
        <w:rPr>
          <w:b/>
          <w:sz w:val="24"/>
        </w:rPr>
        <w:t>工程质量：</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pacing w:val="-2"/>
          <w:sz w:val="24"/>
        </w:rPr>
      </w:pPr>
      <w:r>
        <w:rPr>
          <w:sz w:val="24"/>
        </w:rPr>
        <w:t>单项养护工程项目交（竣）</w:t>
      </w:r>
      <w:r>
        <w:rPr>
          <w:spacing w:val="-2"/>
          <w:sz w:val="24"/>
        </w:rPr>
        <w:t>工验收的质量评定：合格。</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2.</w:t>
      </w:r>
      <w:r>
        <w:rPr>
          <w:rFonts w:hint="eastAsia"/>
          <w:b/>
          <w:sz w:val="24"/>
          <w:lang w:val="en-US" w:eastAsia="zh-CN"/>
        </w:rPr>
        <w:t>2</w:t>
      </w:r>
      <w:r>
        <w:rPr>
          <w:b/>
          <w:sz w:val="24"/>
        </w:rPr>
        <w:t>安全目标：</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rPr>
      </w:pPr>
      <w:r>
        <w:rPr>
          <w:sz w:val="24"/>
        </w:rPr>
        <w:t>不发生等级安全事故。</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2.</w:t>
      </w:r>
      <w:r>
        <w:rPr>
          <w:rFonts w:hint="eastAsia"/>
          <w:b/>
          <w:sz w:val="24"/>
          <w:lang w:val="en-US" w:eastAsia="zh-CN"/>
        </w:rPr>
        <w:t>3</w:t>
      </w:r>
      <w:r>
        <w:rPr>
          <w:b/>
          <w:sz w:val="24"/>
        </w:rPr>
        <w:t>缺陷责任期：</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b/>
          <w:sz w:val="24"/>
          <w:szCs w:val="32"/>
        </w:rPr>
      </w:pPr>
      <w:r>
        <w:rPr>
          <w:rFonts w:ascii="Times New Roman" w:hAnsi="Times New Roman" w:eastAsia="宋体" w:cs="Times New Roman"/>
          <w:kern w:val="2"/>
          <w:sz w:val="24"/>
          <w:szCs w:val="22"/>
          <w:lang w:val="en-US" w:eastAsia="zh-CN" w:bidi="ar-SA"/>
        </w:rPr>
        <w:t>单项养护工程项目自交工证书签章日期起计算，缺陷责任期12个月，保修期60个月。</w:t>
      </w:r>
    </w:p>
    <w:p>
      <w:pPr>
        <w:pStyle w:val="4"/>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szCs w:val="32"/>
        </w:rPr>
      </w:pPr>
      <w:r>
        <w:rPr>
          <w:b/>
          <w:sz w:val="24"/>
          <w:szCs w:val="32"/>
        </w:rPr>
        <w:t>3.投标人资格要求</w:t>
      </w:r>
    </w:p>
    <w:p>
      <w:pPr>
        <w:pStyle w:val="3"/>
        <w:keepNext w:val="0"/>
        <w:keepLines w:val="0"/>
        <w:pageBreakBefore w:val="0"/>
        <w:widowControl w:val="0"/>
        <w:numPr>
          <w:ilvl w:val="1"/>
          <w:numId w:val="2"/>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投标人资格条件</w:t>
      </w:r>
    </w:p>
    <w:p>
      <w:pPr>
        <w:pStyle w:val="11"/>
        <w:keepNext w:val="0"/>
        <w:keepLines w:val="0"/>
        <w:pageBreakBefore w:val="0"/>
        <w:widowControl w:val="0"/>
        <w:numPr>
          <w:ilvl w:val="2"/>
          <w:numId w:val="2"/>
        </w:numPr>
        <w:tabs>
          <w:tab w:val="left" w:pos="1145"/>
        </w:tabs>
        <w:kinsoku/>
        <w:wordWrap/>
        <w:overflowPunct/>
        <w:topLinePunct w:val="0"/>
        <w:bidi w:val="0"/>
        <w:snapToGrid/>
        <w:spacing w:after="0" w:line="360" w:lineRule="auto"/>
        <w:ind w:left="0" w:right="0" w:firstLine="482" w:firstLineChars="200"/>
        <w:jc w:val="both"/>
        <w:textAlignment w:val="auto"/>
        <w:rPr>
          <w:b/>
          <w:sz w:val="24"/>
        </w:rPr>
      </w:pPr>
      <w:r>
        <w:rPr>
          <w:b/>
          <w:sz w:val="24"/>
        </w:rPr>
        <w:t>投标人资格条件：</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具有独立法人资格，持有有效的营业执照、安全生产许可证、基本账户开户许可证，</w:t>
      </w:r>
      <w:r>
        <w:rPr>
          <w:rFonts w:hint="eastAsia"/>
          <w:sz w:val="24"/>
          <w:szCs w:val="32"/>
          <w:lang w:val="en-US" w:eastAsia="zh-CN"/>
        </w:rPr>
        <w:t>四川省交通建设集团</w:t>
      </w:r>
      <w:r>
        <w:rPr>
          <w:sz w:val="24"/>
          <w:szCs w:val="32"/>
        </w:rPr>
        <w:t>股份有限公司《合格协作方库》内单位。</w:t>
      </w:r>
    </w:p>
    <w:p>
      <w:pPr>
        <w:pStyle w:val="11"/>
        <w:keepNext w:val="0"/>
        <w:keepLines w:val="0"/>
        <w:pageBreakBefore w:val="0"/>
        <w:widowControl w:val="0"/>
        <w:numPr>
          <w:ilvl w:val="2"/>
          <w:numId w:val="2"/>
        </w:numPr>
        <w:tabs>
          <w:tab w:val="left" w:pos="1145"/>
        </w:tabs>
        <w:kinsoku/>
        <w:wordWrap/>
        <w:overflowPunct/>
        <w:topLinePunct w:val="0"/>
        <w:bidi w:val="0"/>
        <w:snapToGrid/>
        <w:spacing w:after="0" w:line="360" w:lineRule="auto"/>
        <w:ind w:left="0" w:right="0" w:firstLine="474" w:firstLineChars="200"/>
        <w:jc w:val="both"/>
        <w:textAlignment w:val="auto"/>
        <w:rPr>
          <w:sz w:val="24"/>
        </w:rPr>
      </w:pPr>
      <w:r>
        <w:rPr>
          <w:b/>
          <w:spacing w:val="-2"/>
          <w:sz w:val="24"/>
        </w:rPr>
        <w:t xml:space="preserve">施工资质、业绩要求： </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360" w:lineRule="auto"/>
        <w:ind w:left="0" w:right="0" w:firstLine="480" w:firstLineChars="200"/>
        <w:jc w:val="both"/>
        <w:textAlignment w:val="auto"/>
        <w:rPr>
          <w:rFonts w:hint="eastAsia"/>
          <w:color w:val="auto"/>
          <w:sz w:val="24"/>
          <w:szCs w:val="24"/>
          <w:highlight w:val="none"/>
          <w:lang w:eastAsia="zh-CN"/>
        </w:rPr>
      </w:pPr>
      <w:r>
        <w:rPr>
          <w:rFonts w:hint="eastAsia"/>
          <w:color w:val="auto"/>
          <w:sz w:val="24"/>
          <w:szCs w:val="24"/>
          <w:highlight w:val="none"/>
          <w:lang w:val="en-US" w:eastAsia="zh-CN"/>
        </w:rPr>
        <w:t>（1）资质要求具有政府部分颁发的施工劳务资质或公路工程施工总承包叁级及以上资质</w:t>
      </w:r>
      <w:r>
        <w:rPr>
          <w:rFonts w:hint="eastAsia"/>
          <w:color w:val="auto"/>
          <w:sz w:val="24"/>
          <w:szCs w:val="24"/>
          <w:highlight w:val="none"/>
          <w:lang w:eastAsia="zh-CN"/>
        </w:rPr>
        <w:t>。</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360" w:lineRule="auto"/>
        <w:ind w:left="0" w:right="0" w:firstLine="480" w:firstLineChars="200"/>
        <w:jc w:val="both"/>
        <w:textAlignment w:val="auto"/>
        <w:rPr>
          <w:sz w:val="24"/>
        </w:rPr>
      </w:pPr>
      <w:r>
        <w:rPr>
          <w:rFonts w:hint="eastAsia"/>
          <w:color w:val="auto"/>
          <w:sz w:val="24"/>
          <w:szCs w:val="24"/>
          <w:highlight w:val="none"/>
          <w:lang w:val="en-US" w:eastAsia="zh-CN"/>
        </w:rPr>
        <w:t>（2）业绩要求：5年内（2017年1月1日至今，以合同签订时间为准）具有1个及以上高速公路路基边坡养护或新建或改扩建施工业绩。</w:t>
      </w:r>
    </w:p>
    <w:p>
      <w:pPr>
        <w:pStyle w:val="3"/>
        <w:keepNext w:val="0"/>
        <w:keepLines w:val="0"/>
        <w:pageBreakBefore w:val="0"/>
        <w:widowControl w:val="0"/>
        <w:numPr>
          <w:ilvl w:val="2"/>
          <w:numId w:val="2"/>
        </w:numPr>
        <w:tabs>
          <w:tab w:val="left" w:pos="1145"/>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财务要求：</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具有一般纳税人资格，能够按照国家现行税收政策足额开具增值税发票。</w:t>
      </w:r>
    </w:p>
    <w:p>
      <w:pPr>
        <w:pStyle w:val="3"/>
        <w:keepNext w:val="0"/>
        <w:keepLines w:val="0"/>
        <w:pageBreakBefore w:val="0"/>
        <w:widowControl w:val="0"/>
        <w:numPr>
          <w:ilvl w:val="2"/>
          <w:numId w:val="2"/>
        </w:numPr>
        <w:tabs>
          <w:tab w:val="left" w:pos="1264"/>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人员要求：</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rPr>
      </w:pPr>
      <w:r>
        <w:rPr>
          <w:sz w:val="24"/>
        </w:rPr>
        <w:t>具有相应的管理和施工能力，人员数量详见本公告附表</w:t>
      </w:r>
      <w:r>
        <w:rPr>
          <w:rFonts w:hint="eastAsia"/>
          <w:sz w:val="24"/>
          <w:lang w:val="en-US" w:eastAsia="zh-CN"/>
        </w:rPr>
        <w:t>一</w:t>
      </w:r>
      <w:r>
        <w:rPr>
          <w:sz w:val="24"/>
        </w:rPr>
        <w:t>。</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3.1.5</w:t>
      </w:r>
      <w:r>
        <w:rPr>
          <w:rFonts w:hint="eastAsia"/>
          <w:b/>
          <w:sz w:val="24"/>
          <w:lang w:val="en-US" w:eastAsia="zh-CN"/>
        </w:rPr>
        <w:t xml:space="preserve"> </w:t>
      </w:r>
      <w:r>
        <w:rPr>
          <w:b/>
          <w:sz w:val="24"/>
        </w:rPr>
        <w:t>机械设备要求：</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rFonts w:hint="eastAsia"/>
          <w:sz w:val="24"/>
          <w:lang w:val="en-US" w:eastAsia="zh-CN"/>
        </w:rPr>
      </w:pPr>
      <w:r>
        <w:rPr>
          <w:sz w:val="24"/>
        </w:rPr>
        <w:t>详见本公告附表</w:t>
      </w:r>
      <w:r>
        <w:rPr>
          <w:rFonts w:hint="eastAsia"/>
          <w:sz w:val="24"/>
          <w:lang w:val="en-US" w:eastAsia="zh-CN"/>
        </w:rPr>
        <w:t>二。</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3.1.6</w:t>
      </w:r>
      <w:r>
        <w:rPr>
          <w:rFonts w:hint="eastAsia"/>
          <w:b/>
          <w:sz w:val="24"/>
          <w:lang w:val="en-US" w:eastAsia="zh-CN"/>
        </w:rPr>
        <w:t xml:space="preserve"> </w:t>
      </w:r>
      <w:r>
        <w:rPr>
          <w:b/>
          <w:sz w:val="24"/>
        </w:rPr>
        <w:t>信誉要求：</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360" w:lineRule="auto"/>
        <w:ind w:left="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在“信用中国”网站（http：//www.creditchina.gov.cn）中被列入失信被执行人名单的投标人，不得参加投标。</w:t>
      </w:r>
    </w:p>
    <w:p>
      <w:pPr>
        <w:pStyle w:val="3"/>
        <w:keepNext w:val="0"/>
        <w:keepLines w:val="0"/>
        <w:pageBreakBefore w:val="0"/>
        <w:widowControl w:val="0"/>
        <w:numPr>
          <w:ilvl w:val="1"/>
          <w:numId w:val="2"/>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本次招标是否接受联合体投标：</w:t>
      </w:r>
      <w:r>
        <w:rPr>
          <w:rFonts w:hint="eastAsia" w:ascii="宋体" w:eastAsia="宋体"/>
          <w:b w:val="0"/>
          <w:spacing w:val="-16"/>
          <w:u w:val="single"/>
        </w:rPr>
        <w:t>否</w:t>
      </w:r>
    </w:p>
    <w:p>
      <w:pPr>
        <w:pStyle w:val="3"/>
        <w:keepNext w:val="0"/>
        <w:keepLines w:val="0"/>
        <w:pageBreakBefore w:val="0"/>
        <w:widowControl w:val="0"/>
        <w:numPr>
          <w:ilvl w:val="0"/>
          <w:numId w:val="0"/>
        </w:numPr>
        <w:tabs>
          <w:tab w:val="left" w:pos="1022"/>
        </w:tabs>
        <w:kinsoku/>
        <w:wordWrap/>
        <w:overflowPunct/>
        <w:topLinePunct w:val="0"/>
        <w:bidi w:val="0"/>
        <w:snapToGrid/>
        <w:spacing w:after="0" w:line="360" w:lineRule="auto"/>
        <w:ind w:leftChars="200" w:right="0" w:rightChars="0"/>
        <w:jc w:val="both"/>
        <w:textAlignment w:val="auto"/>
        <w:rPr>
          <w:rFonts w:hint="eastAsia" w:ascii="宋体" w:eastAsia="宋体"/>
        </w:rPr>
      </w:pPr>
      <w:r>
        <w:rPr>
          <w:rFonts w:hint="eastAsia" w:ascii="宋体" w:eastAsia="宋体"/>
        </w:rPr>
        <w:t>4.履约保证金</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 xml:space="preserve">投标人中标后需缴纳不低于相应段落中标价 </w:t>
      </w:r>
      <w:r>
        <w:rPr>
          <w:sz w:val="24"/>
          <w:szCs w:val="32"/>
          <w:u w:val="single"/>
        </w:rPr>
        <w:t>1</w:t>
      </w:r>
      <w:r>
        <w:rPr>
          <w:sz w:val="24"/>
          <w:szCs w:val="32"/>
        </w:rPr>
        <w:t>%的履约保证金或金融机构履约保函。</w:t>
      </w:r>
    </w:p>
    <w:p>
      <w:pPr>
        <w:pStyle w:val="3"/>
        <w:keepNext w:val="0"/>
        <w:keepLines w:val="0"/>
        <w:pageBreakBefore w:val="0"/>
        <w:widowControl w:val="0"/>
        <w:numPr>
          <w:ilvl w:val="0"/>
          <w:numId w:val="0"/>
        </w:numPr>
        <w:tabs>
          <w:tab w:val="left" w:pos="1022"/>
        </w:tabs>
        <w:kinsoku/>
        <w:wordWrap/>
        <w:overflowPunct/>
        <w:topLinePunct w:val="0"/>
        <w:bidi w:val="0"/>
        <w:snapToGrid/>
        <w:spacing w:after="0" w:line="360" w:lineRule="auto"/>
        <w:ind w:leftChars="200" w:right="0" w:rightChars="0"/>
        <w:jc w:val="both"/>
        <w:textAlignment w:val="auto"/>
        <w:rPr>
          <w:rFonts w:hint="eastAsia" w:ascii="宋体" w:eastAsia="宋体"/>
        </w:rPr>
      </w:pPr>
      <w:r>
        <w:rPr>
          <w:rFonts w:hint="eastAsia" w:ascii="宋体" w:eastAsia="宋体"/>
        </w:rPr>
        <w:t>5.投标保证金</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 xml:space="preserve">投标人在递交投标文件截止日之前，按投标人须知的规定向投标人指定的银行账户提交人民币 </w:t>
      </w:r>
      <w:r>
        <w:rPr>
          <w:rFonts w:hint="eastAsia"/>
          <w:sz w:val="24"/>
          <w:szCs w:val="32"/>
          <w:u w:val="single"/>
          <w:lang w:val="en-US" w:eastAsia="zh-CN"/>
        </w:rPr>
        <w:t>1</w:t>
      </w:r>
      <w:r>
        <w:rPr>
          <w:sz w:val="24"/>
          <w:szCs w:val="32"/>
        </w:rPr>
        <w:t xml:space="preserve"> 万元的投标保证金。</w:t>
      </w:r>
    </w:p>
    <w:p>
      <w:pPr>
        <w:pStyle w:val="3"/>
        <w:keepNext w:val="0"/>
        <w:keepLines w:val="0"/>
        <w:pageBreakBefore w:val="0"/>
        <w:widowControl w:val="0"/>
        <w:numPr>
          <w:ilvl w:val="0"/>
          <w:numId w:val="0"/>
        </w:numPr>
        <w:tabs>
          <w:tab w:val="left" w:pos="843"/>
        </w:tabs>
        <w:kinsoku/>
        <w:wordWrap/>
        <w:overflowPunct/>
        <w:topLinePunct w:val="0"/>
        <w:bidi w:val="0"/>
        <w:snapToGrid/>
        <w:spacing w:after="0" w:line="360" w:lineRule="auto"/>
        <w:ind w:left="0" w:leftChars="0" w:right="0" w:rightChars="0" w:firstLine="480" w:firstLineChars="200"/>
        <w:jc w:val="both"/>
        <w:textAlignment w:val="auto"/>
        <w:rPr>
          <w:rFonts w:hint="eastAsia" w:ascii="宋体" w:eastAsia="宋体"/>
          <w:b w:val="0"/>
          <w:bCs w:val="0"/>
        </w:rPr>
      </w:pPr>
      <w:r>
        <w:rPr>
          <w:b w:val="0"/>
          <w:bCs w:val="0"/>
        </w:rPr>
        <w:t>投标人应确保银行汇票真实有效，提供虚假汇票的投标文件无效。</w:t>
      </w:r>
    </w:p>
    <w:p>
      <w:pPr>
        <w:pStyle w:val="3"/>
        <w:keepNext w:val="0"/>
        <w:keepLines w:val="0"/>
        <w:pageBreakBefore w:val="0"/>
        <w:widowControl w:val="0"/>
        <w:numPr>
          <w:ilvl w:val="0"/>
          <w:numId w:val="3"/>
        </w:numPr>
        <w:tabs>
          <w:tab w:val="left" w:pos="84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信用奖励</w:t>
      </w:r>
    </w:p>
    <w:p>
      <w:pPr>
        <w:pStyle w:val="11"/>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38" w:firstLineChars="200"/>
        <w:jc w:val="both"/>
        <w:textAlignment w:val="auto"/>
        <w:rPr>
          <w:b/>
          <w:sz w:val="24"/>
        </w:rPr>
      </w:pPr>
      <w:r>
        <w:rPr>
          <w:b/>
          <w:spacing w:val="-11"/>
          <w:sz w:val="24"/>
        </w:rPr>
        <w:t xml:space="preserve">获得招标人 </w:t>
      </w:r>
      <w:r>
        <w:rPr>
          <w:b/>
          <w:sz w:val="24"/>
        </w:rPr>
        <w:t>A</w:t>
      </w:r>
      <w:r>
        <w:rPr>
          <w:b/>
          <w:spacing w:val="-8"/>
          <w:sz w:val="24"/>
        </w:rPr>
        <w:t xml:space="preserve"> 级信用评价的投标人：</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履约保证金按 80%缴纳</w:t>
      </w:r>
      <w:r>
        <w:rPr>
          <w:rFonts w:hint="eastAsia"/>
          <w:sz w:val="24"/>
          <w:szCs w:val="32"/>
          <w:lang w:eastAsia="zh-CN"/>
        </w:rPr>
        <w:t>，</w:t>
      </w:r>
      <w:r>
        <w:rPr>
          <w:rFonts w:hint="eastAsia"/>
          <w:sz w:val="24"/>
          <w:szCs w:val="32"/>
          <w:lang w:val="en-US" w:eastAsia="zh-CN"/>
        </w:rPr>
        <w:t>免交</w:t>
      </w:r>
      <w:r>
        <w:rPr>
          <w:sz w:val="24"/>
          <w:szCs w:val="32"/>
        </w:rPr>
        <w:t>投标保证金。</w:t>
      </w:r>
    </w:p>
    <w:p>
      <w:pPr>
        <w:pStyle w:val="3"/>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38" w:firstLineChars="200"/>
        <w:jc w:val="both"/>
        <w:textAlignment w:val="auto"/>
        <w:rPr>
          <w:rFonts w:hint="eastAsia" w:ascii="宋体" w:eastAsia="宋体"/>
          <w:b w:val="0"/>
        </w:rPr>
      </w:pPr>
      <w:r>
        <w:rPr>
          <w:rFonts w:hint="eastAsia" w:ascii="宋体" w:eastAsia="宋体"/>
          <w:spacing w:val="-11"/>
        </w:rPr>
        <w:t xml:space="preserve">获得招标人 </w:t>
      </w:r>
      <w:r>
        <w:rPr>
          <w:rFonts w:hint="eastAsia" w:ascii="宋体" w:eastAsia="宋体"/>
        </w:rPr>
        <w:t>AA</w:t>
      </w:r>
      <w:r>
        <w:rPr>
          <w:rFonts w:hint="eastAsia" w:ascii="宋体" w:eastAsia="宋体"/>
          <w:spacing w:val="-8"/>
        </w:rPr>
        <w:t xml:space="preserve"> 级信用评价的投标人</w:t>
      </w:r>
      <w:r>
        <w:rPr>
          <w:rFonts w:hint="eastAsia" w:ascii="宋体" w:eastAsia="宋体"/>
          <w:b w:val="0"/>
        </w:rPr>
        <w:t>：</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履约保证金按 60%缴纳、</w:t>
      </w:r>
      <w:r>
        <w:rPr>
          <w:rFonts w:hint="eastAsia"/>
          <w:sz w:val="24"/>
          <w:szCs w:val="32"/>
          <w:lang w:val="en-US" w:eastAsia="zh-CN"/>
        </w:rPr>
        <w:t>免交</w:t>
      </w:r>
      <w:r>
        <w:rPr>
          <w:sz w:val="24"/>
          <w:szCs w:val="32"/>
        </w:rPr>
        <w:t>投标保证金。</w:t>
      </w:r>
    </w:p>
    <w:p>
      <w:pPr>
        <w:pStyle w:val="3"/>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其他：</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被四川省交通运输厅评为 20</w:t>
      </w:r>
      <w:r>
        <w:rPr>
          <w:rFonts w:hint="eastAsia"/>
          <w:sz w:val="24"/>
          <w:szCs w:val="32"/>
          <w:lang w:val="en-US" w:eastAsia="zh-CN"/>
        </w:rPr>
        <w:t>21</w:t>
      </w:r>
      <w:r>
        <w:rPr>
          <w:sz w:val="24"/>
          <w:szCs w:val="32"/>
        </w:rPr>
        <w:t>年度“AA”或“A”信用等级且施工资质为总承包一级及以上的投标人，本年度内信用等级按 A 级处理。</w:t>
      </w:r>
    </w:p>
    <w:p>
      <w:pPr>
        <w:pStyle w:val="3"/>
        <w:keepNext w:val="0"/>
        <w:keepLines w:val="0"/>
        <w:pageBreakBefore w:val="0"/>
        <w:widowControl w:val="0"/>
        <w:numPr>
          <w:ilvl w:val="0"/>
          <w:numId w:val="3"/>
        </w:numPr>
        <w:tabs>
          <w:tab w:val="left" w:pos="78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招标文件的获取</w:t>
      </w:r>
    </w:p>
    <w:p>
      <w:pPr>
        <w:pStyle w:val="11"/>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82" w:firstLineChars="200"/>
        <w:jc w:val="both"/>
        <w:textAlignment w:val="auto"/>
        <w:rPr>
          <w:b/>
          <w:sz w:val="24"/>
        </w:rPr>
      </w:pPr>
      <w:r>
        <w:rPr>
          <w:b/>
          <w:sz w:val="24"/>
        </w:rPr>
        <w:t>报名：</w:t>
      </w:r>
    </w:p>
    <w:p>
      <w:pPr>
        <w:pStyle w:val="4"/>
        <w:keepNext w:val="0"/>
        <w:keepLines w:val="0"/>
        <w:pageBreakBefore w:val="0"/>
        <w:widowControl w:val="0"/>
        <w:kinsoku/>
        <w:wordWrap/>
        <w:overflowPunct/>
        <w:topLinePunct w:val="0"/>
        <w:bidi w:val="0"/>
        <w:snapToGrid/>
        <w:spacing w:line="360" w:lineRule="auto"/>
        <w:ind w:left="0" w:right="0" w:firstLine="476" w:firstLineChars="200"/>
        <w:jc w:val="both"/>
        <w:textAlignment w:val="auto"/>
        <w:rPr>
          <w:rFonts w:ascii="宋体" w:hAnsi="宋体" w:eastAsia="宋体" w:cs="宋体"/>
          <w:sz w:val="24"/>
          <w:szCs w:val="24"/>
          <w:u w:val="none"/>
        </w:rPr>
      </w:pPr>
      <w:r>
        <w:rPr>
          <w:spacing w:val="-1"/>
          <w:sz w:val="24"/>
          <w:szCs w:val="32"/>
        </w:rPr>
        <w:t>凡有</w:t>
      </w:r>
      <w:r>
        <w:rPr>
          <w:color w:val="auto"/>
          <w:spacing w:val="-1"/>
          <w:sz w:val="24"/>
          <w:szCs w:val="32"/>
          <w:highlight w:val="none"/>
        </w:rPr>
        <w:t xml:space="preserve">意参加本项目的潜在投标人，请于 </w:t>
      </w:r>
      <w:r>
        <w:rPr>
          <w:color w:val="auto"/>
          <w:sz w:val="24"/>
          <w:szCs w:val="32"/>
          <w:highlight w:val="none"/>
          <w:u w:val="single"/>
        </w:rPr>
        <w:t>202</w:t>
      </w:r>
      <w:r>
        <w:rPr>
          <w:rFonts w:hint="eastAsia"/>
          <w:color w:val="auto"/>
          <w:sz w:val="24"/>
          <w:szCs w:val="32"/>
          <w:highlight w:val="none"/>
          <w:u w:val="single"/>
          <w:lang w:val="en-US" w:eastAsia="zh-CN"/>
        </w:rPr>
        <w:t>2</w:t>
      </w:r>
      <w:r>
        <w:rPr>
          <w:color w:val="auto"/>
          <w:spacing w:val="-37"/>
          <w:sz w:val="24"/>
          <w:szCs w:val="32"/>
          <w:highlight w:val="none"/>
          <w:u w:val="single"/>
        </w:rPr>
        <w:t xml:space="preserve"> 年</w:t>
      </w:r>
      <w:r>
        <w:rPr>
          <w:rFonts w:hint="eastAsia"/>
          <w:color w:val="auto"/>
          <w:spacing w:val="-37"/>
          <w:sz w:val="24"/>
          <w:szCs w:val="32"/>
          <w:highlight w:val="none"/>
          <w:u w:val="single"/>
          <w:lang w:val="en-US" w:eastAsia="zh-CN"/>
        </w:rPr>
        <w:t>4</w:t>
      </w:r>
      <w:r>
        <w:rPr>
          <w:color w:val="auto"/>
          <w:spacing w:val="-37"/>
          <w:sz w:val="24"/>
          <w:szCs w:val="32"/>
          <w:highlight w:val="none"/>
          <w:u w:val="single"/>
        </w:rPr>
        <w:t xml:space="preserve">月 </w:t>
      </w:r>
      <w:r>
        <w:rPr>
          <w:rFonts w:hint="eastAsia"/>
          <w:color w:val="auto"/>
          <w:spacing w:val="-37"/>
          <w:sz w:val="24"/>
          <w:szCs w:val="32"/>
          <w:highlight w:val="none"/>
          <w:u w:val="single"/>
          <w:lang w:val="en-US" w:eastAsia="zh-CN"/>
        </w:rPr>
        <w:t>28</w:t>
      </w:r>
      <w:r>
        <w:rPr>
          <w:color w:val="auto"/>
          <w:spacing w:val="-26"/>
          <w:sz w:val="24"/>
          <w:szCs w:val="32"/>
          <w:highlight w:val="none"/>
          <w:u w:val="single"/>
        </w:rPr>
        <w:t>日</w:t>
      </w:r>
      <w:r>
        <w:rPr>
          <w:color w:val="auto"/>
          <w:spacing w:val="-17"/>
          <w:sz w:val="24"/>
          <w:szCs w:val="32"/>
          <w:highlight w:val="none"/>
          <w:u w:val="single"/>
        </w:rPr>
        <w:t xml:space="preserve"> </w:t>
      </w:r>
      <w:r>
        <w:rPr>
          <w:color w:val="auto"/>
          <w:sz w:val="24"/>
          <w:szCs w:val="32"/>
          <w:highlight w:val="none"/>
          <w:u w:val="single"/>
        </w:rPr>
        <w:t>9</w:t>
      </w:r>
      <w:r>
        <w:rPr>
          <w:rFonts w:hint="eastAsia"/>
          <w:color w:val="auto"/>
          <w:sz w:val="24"/>
          <w:szCs w:val="32"/>
          <w:highlight w:val="none"/>
          <w:u w:val="single"/>
          <w:lang w:val="en-US" w:eastAsia="zh-CN"/>
        </w:rPr>
        <w:t>：30</w:t>
      </w:r>
      <w:r>
        <w:rPr>
          <w:color w:val="auto"/>
          <w:spacing w:val="-26"/>
          <w:sz w:val="24"/>
          <w:szCs w:val="32"/>
          <w:highlight w:val="none"/>
          <w:u w:val="single"/>
        </w:rPr>
        <w:t xml:space="preserve">至 </w:t>
      </w:r>
      <w:r>
        <w:rPr>
          <w:color w:val="auto"/>
          <w:sz w:val="24"/>
          <w:szCs w:val="32"/>
          <w:highlight w:val="none"/>
          <w:u w:val="single"/>
        </w:rPr>
        <w:t>202</w:t>
      </w:r>
      <w:r>
        <w:rPr>
          <w:rFonts w:hint="eastAsia"/>
          <w:color w:val="auto"/>
          <w:sz w:val="24"/>
          <w:szCs w:val="32"/>
          <w:highlight w:val="none"/>
          <w:u w:val="single"/>
          <w:lang w:val="en-US" w:eastAsia="zh-CN"/>
        </w:rPr>
        <w:t>2</w:t>
      </w:r>
      <w:r>
        <w:rPr>
          <w:color w:val="auto"/>
          <w:spacing w:val="-36"/>
          <w:sz w:val="24"/>
          <w:szCs w:val="32"/>
          <w:highlight w:val="none"/>
          <w:u w:val="single"/>
        </w:rPr>
        <w:t xml:space="preserve"> 年 </w:t>
      </w:r>
      <w:r>
        <w:rPr>
          <w:rFonts w:hint="eastAsia"/>
          <w:color w:val="auto"/>
          <w:sz w:val="24"/>
          <w:szCs w:val="32"/>
          <w:highlight w:val="none"/>
          <w:u w:val="single"/>
          <w:lang w:val="en-US" w:eastAsia="zh-CN"/>
        </w:rPr>
        <w:t>5</w:t>
      </w:r>
      <w:r>
        <w:rPr>
          <w:color w:val="auto"/>
          <w:spacing w:val="-37"/>
          <w:sz w:val="24"/>
          <w:szCs w:val="32"/>
          <w:highlight w:val="none"/>
          <w:u w:val="single"/>
        </w:rPr>
        <w:t>月</w:t>
      </w:r>
      <w:r>
        <w:rPr>
          <w:rFonts w:hint="eastAsia"/>
          <w:color w:val="auto"/>
          <w:spacing w:val="-37"/>
          <w:sz w:val="24"/>
          <w:szCs w:val="32"/>
          <w:highlight w:val="none"/>
          <w:u w:val="single"/>
          <w:lang w:val="en-US" w:eastAsia="zh-CN"/>
        </w:rPr>
        <w:t>7</w:t>
      </w:r>
      <w:r>
        <w:rPr>
          <w:color w:val="auto"/>
          <w:spacing w:val="-25"/>
          <w:sz w:val="24"/>
          <w:szCs w:val="32"/>
          <w:highlight w:val="none"/>
          <w:u w:val="single"/>
        </w:rPr>
        <w:t>日</w:t>
      </w:r>
      <w:r>
        <w:rPr>
          <w:rFonts w:hint="eastAsia"/>
          <w:color w:val="auto"/>
          <w:spacing w:val="-27"/>
          <w:sz w:val="24"/>
          <w:szCs w:val="32"/>
          <w:highlight w:val="none"/>
          <w:u w:val="single"/>
          <w:lang w:val="en-US" w:eastAsia="zh-CN"/>
        </w:rPr>
        <w:t>17：30</w:t>
      </w:r>
      <w:r>
        <w:rPr>
          <w:color w:val="auto"/>
          <w:sz w:val="24"/>
          <w:szCs w:val="32"/>
          <w:highlight w:val="none"/>
          <w:u w:val="none"/>
        </w:rPr>
        <w:fldChar w:fldCharType="begin"/>
      </w:r>
      <w:r>
        <w:rPr>
          <w:color w:val="auto"/>
          <w:sz w:val="24"/>
          <w:szCs w:val="32"/>
          <w:highlight w:val="none"/>
          <w:u w:val="none"/>
        </w:rPr>
        <w:instrText xml:space="preserve"> HYPERLINK "mailto:）报名，将联系人姓名、联系方式(电话和QQ邮箱)、单位介绍信、经办人身份证、法人身份证、营业执照资质证书基本账户开户许可证加盖公章的PDF版扫描件,以电子邮箱的形式发送至1468068367@qq.com进行网上报名获取招标文件,本次招标不接受现场报名。" </w:instrText>
      </w:r>
      <w:r>
        <w:rPr>
          <w:color w:val="auto"/>
          <w:sz w:val="24"/>
          <w:szCs w:val="32"/>
          <w:highlight w:val="none"/>
          <w:u w:val="none"/>
        </w:rPr>
        <w:fldChar w:fldCharType="separate"/>
      </w:r>
      <w:r>
        <w:rPr>
          <w:rStyle w:val="9"/>
          <w:color w:val="auto"/>
          <w:sz w:val="24"/>
          <w:szCs w:val="32"/>
          <w:highlight w:val="none"/>
          <w:u w:val="none"/>
        </w:rPr>
        <w:t>报名，</w:t>
      </w:r>
      <w:r>
        <w:rPr>
          <w:rStyle w:val="9"/>
          <w:rFonts w:ascii="宋体" w:hAnsi="宋体" w:eastAsia="宋体" w:cs="宋体"/>
          <w:color w:val="auto"/>
          <w:sz w:val="24"/>
          <w:szCs w:val="24"/>
          <w:u w:val="none"/>
        </w:rPr>
        <w:t>将联系人姓名、联系方式(电话和</w:t>
      </w:r>
      <w:r>
        <w:rPr>
          <w:rStyle w:val="9"/>
          <w:rFonts w:hint="eastAsia" w:ascii="宋体" w:hAnsi="宋体" w:cs="宋体"/>
          <w:color w:val="auto"/>
          <w:sz w:val="24"/>
          <w:szCs w:val="24"/>
          <w:u w:val="none"/>
          <w:lang w:val="en-US" w:eastAsia="zh-CN"/>
        </w:rPr>
        <w:t>电子</w:t>
      </w:r>
      <w:r>
        <w:rPr>
          <w:rStyle w:val="9"/>
          <w:rFonts w:ascii="宋体" w:hAnsi="宋体" w:eastAsia="宋体" w:cs="宋体"/>
          <w:color w:val="auto"/>
          <w:sz w:val="24"/>
          <w:szCs w:val="24"/>
          <w:u w:val="none"/>
        </w:rPr>
        <w:t>邮箱)、单位介绍信、</w:t>
      </w:r>
      <w:r>
        <w:rPr>
          <w:rStyle w:val="9"/>
          <w:rFonts w:hint="eastAsia" w:ascii="宋体" w:hAnsi="宋体" w:eastAsia="宋体" w:cs="宋体"/>
          <w:color w:val="auto"/>
          <w:sz w:val="24"/>
          <w:szCs w:val="24"/>
          <w:u w:val="none"/>
          <w:lang w:val="en-US" w:eastAsia="zh-CN"/>
        </w:rPr>
        <w:t>经办</w:t>
      </w:r>
      <w:r>
        <w:rPr>
          <w:rStyle w:val="9"/>
          <w:rFonts w:ascii="宋体" w:hAnsi="宋体" w:eastAsia="宋体" w:cs="宋体"/>
          <w:color w:val="auto"/>
          <w:sz w:val="24"/>
          <w:szCs w:val="24"/>
          <w:u w:val="none"/>
        </w:rPr>
        <w:t>人身份证、法人身份证、营业执照资质证书基本账户开户许可证加盖公章的PDF版扫描件,以电子邮箱的形式发送至</w:t>
      </w:r>
      <w:r>
        <w:rPr>
          <w:rStyle w:val="9"/>
          <w:rFonts w:hint="eastAsia" w:ascii="宋体" w:hAnsi="宋体" w:eastAsia="宋体" w:cs="宋体"/>
          <w:color w:val="auto"/>
          <w:sz w:val="24"/>
          <w:szCs w:val="24"/>
          <w:u w:val="none"/>
          <w:lang w:val="en-US" w:eastAsia="zh-CN"/>
        </w:rPr>
        <w:t>1468068367</w:t>
      </w:r>
      <w:r>
        <w:rPr>
          <w:rStyle w:val="9"/>
          <w:rFonts w:ascii="宋体" w:hAnsi="宋体" w:eastAsia="宋体" w:cs="宋体"/>
          <w:color w:val="auto"/>
          <w:sz w:val="24"/>
          <w:szCs w:val="24"/>
          <w:u w:val="none"/>
        </w:rPr>
        <w:t>@qq.com进行网上报名获取招标文件,本次招标不接受现场报名。</w:t>
      </w:r>
      <w:r>
        <w:rPr>
          <w:color w:val="auto"/>
          <w:sz w:val="24"/>
          <w:szCs w:val="32"/>
          <w:highlight w:val="none"/>
          <w:u w:val="none"/>
        </w:rPr>
        <w:fldChar w:fldCharType="end"/>
      </w:r>
    </w:p>
    <w:p>
      <w:pPr>
        <w:pStyle w:val="3"/>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招标文件的购买：</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rFonts w:ascii="宋体" w:hAnsi="宋体" w:eastAsia="宋体" w:cs="宋体"/>
          <w:color w:val="auto"/>
          <w:sz w:val="24"/>
          <w:szCs w:val="24"/>
          <w:u w:val="none"/>
        </w:rPr>
      </w:pPr>
      <w:r>
        <w:rPr>
          <w:rFonts w:ascii="宋体" w:hAnsi="宋体" w:eastAsia="宋体" w:cs="宋体"/>
          <w:color w:val="auto"/>
          <w:sz w:val="24"/>
          <w:szCs w:val="24"/>
          <w:u w:val="none"/>
        </w:rPr>
        <w:fldChar w:fldCharType="begin"/>
      </w:r>
      <w:r>
        <w:rPr>
          <w:rFonts w:ascii="宋体" w:hAnsi="宋体" w:eastAsia="宋体" w:cs="宋体"/>
          <w:color w:val="auto"/>
          <w:sz w:val="24"/>
          <w:szCs w:val="24"/>
          <w:u w:val="none"/>
        </w:rPr>
        <w:instrText xml:space="preserve"> HYPERLINK "mailto:招标人在2021年10月23日至10月27日通过QQ邮箱（1468068367@qq.com）将招标文件、招标限价及图纸等招标资料发送至报名时留下的邮箱。" </w:instrText>
      </w:r>
      <w:r>
        <w:rPr>
          <w:rFonts w:ascii="宋体" w:hAnsi="宋体" w:eastAsia="宋体" w:cs="宋体"/>
          <w:color w:val="auto"/>
          <w:sz w:val="24"/>
          <w:szCs w:val="24"/>
          <w:u w:val="none"/>
        </w:rPr>
        <w:fldChar w:fldCharType="separate"/>
      </w:r>
      <w:r>
        <w:rPr>
          <w:rStyle w:val="9"/>
          <w:rFonts w:ascii="宋体" w:hAnsi="宋体" w:eastAsia="宋体" w:cs="宋体"/>
          <w:color w:val="auto"/>
          <w:sz w:val="24"/>
          <w:szCs w:val="24"/>
          <w:u w:val="none"/>
        </w:rPr>
        <w:t>招标人在</w:t>
      </w:r>
      <w:r>
        <w:rPr>
          <w:color w:val="auto"/>
          <w:sz w:val="24"/>
          <w:szCs w:val="32"/>
          <w:highlight w:val="none"/>
          <w:u w:val="none"/>
        </w:rPr>
        <w:t>202</w:t>
      </w:r>
      <w:r>
        <w:rPr>
          <w:rFonts w:hint="eastAsia"/>
          <w:color w:val="auto"/>
          <w:sz w:val="24"/>
          <w:szCs w:val="32"/>
          <w:highlight w:val="none"/>
          <w:u w:val="none"/>
          <w:lang w:val="en-US" w:eastAsia="zh-CN"/>
        </w:rPr>
        <w:t>2</w:t>
      </w:r>
      <w:r>
        <w:rPr>
          <w:color w:val="auto"/>
          <w:spacing w:val="-37"/>
          <w:sz w:val="24"/>
          <w:szCs w:val="32"/>
          <w:highlight w:val="none"/>
          <w:u w:val="none"/>
        </w:rPr>
        <w:t xml:space="preserve"> 年</w:t>
      </w:r>
      <w:r>
        <w:rPr>
          <w:rFonts w:hint="eastAsia"/>
          <w:color w:val="auto"/>
          <w:spacing w:val="-37"/>
          <w:sz w:val="24"/>
          <w:szCs w:val="32"/>
          <w:highlight w:val="none"/>
          <w:u w:val="none"/>
          <w:lang w:val="en-US" w:eastAsia="zh-CN"/>
        </w:rPr>
        <w:t>5</w:t>
      </w:r>
      <w:r>
        <w:rPr>
          <w:color w:val="auto"/>
          <w:spacing w:val="-37"/>
          <w:sz w:val="24"/>
          <w:szCs w:val="32"/>
          <w:highlight w:val="none"/>
          <w:u w:val="none"/>
        </w:rPr>
        <w:t>月</w:t>
      </w:r>
      <w:r>
        <w:rPr>
          <w:rFonts w:hint="eastAsia"/>
          <w:color w:val="auto"/>
          <w:spacing w:val="-37"/>
          <w:sz w:val="24"/>
          <w:szCs w:val="32"/>
          <w:highlight w:val="none"/>
          <w:u w:val="none"/>
          <w:lang w:val="en-US" w:eastAsia="zh-CN"/>
        </w:rPr>
        <w:t>7</w:t>
      </w:r>
      <w:r>
        <w:rPr>
          <w:color w:val="auto"/>
          <w:spacing w:val="-26"/>
          <w:sz w:val="24"/>
          <w:szCs w:val="32"/>
          <w:highlight w:val="none"/>
          <w:u w:val="none"/>
        </w:rPr>
        <w:t>日</w:t>
      </w:r>
      <w:r>
        <w:rPr>
          <w:rStyle w:val="9"/>
          <w:rFonts w:ascii="宋体" w:hAnsi="宋体" w:eastAsia="宋体" w:cs="宋体"/>
          <w:color w:val="auto"/>
          <w:sz w:val="24"/>
          <w:szCs w:val="24"/>
          <w:u w:val="none"/>
        </w:rPr>
        <w:t>通过</w:t>
      </w:r>
      <w:r>
        <w:rPr>
          <w:rStyle w:val="9"/>
          <w:rFonts w:hint="eastAsia" w:ascii="宋体" w:hAnsi="宋体" w:cs="宋体"/>
          <w:color w:val="auto"/>
          <w:sz w:val="24"/>
          <w:szCs w:val="24"/>
          <w:u w:val="none"/>
          <w:lang w:val="en-US" w:eastAsia="zh-CN"/>
        </w:rPr>
        <w:t>电子</w:t>
      </w:r>
      <w:r>
        <w:rPr>
          <w:rStyle w:val="9"/>
          <w:rFonts w:ascii="宋体" w:hAnsi="宋体" w:eastAsia="宋体" w:cs="宋体"/>
          <w:color w:val="auto"/>
          <w:sz w:val="24"/>
          <w:szCs w:val="24"/>
          <w:u w:val="none"/>
        </w:rPr>
        <w:t>邮箱（</w:t>
      </w:r>
      <w:r>
        <w:rPr>
          <w:rStyle w:val="9"/>
          <w:rFonts w:hint="eastAsia" w:ascii="宋体" w:hAnsi="宋体" w:eastAsia="宋体" w:cs="宋体"/>
          <w:color w:val="auto"/>
          <w:sz w:val="24"/>
          <w:szCs w:val="24"/>
          <w:u w:val="none"/>
          <w:lang w:val="en-US" w:eastAsia="zh-CN"/>
        </w:rPr>
        <w:t>1468068367</w:t>
      </w:r>
      <w:r>
        <w:rPr>
          <w:rStyle w:val="9"/>
          <w:rFonts w:ascii="宋体" w:hAnsi="宋体" w:eastAsia="宋体" w:cs="宋体"/>
          <w:color w:val="auto"/>
          <w:sz w:val="24"/>
          <w:szCs w:val="24"/>
          <w:u w:val="none"/>
        </w:rPr>
        <w:t>@qq.com）将招标文件、</w:t>
      </w:r>
      <w:r>
        <w:rPr>
          <w:rStyle w:val="9"/>
          <w:rFonts w:hint="eastAsia" w:ascii="宋体" w:hAnsi="宋体" w:cs="宋体"/>
          <w:color w:val="auto"/>
          <w:sz w:val="24"/>
          <w:szCs w:val="24"/>
          <w:u w:val="none"/>
          <w:lang w:val="en-US" w:eastAsia="zh-CN"/>
        </w:rPr>
        <w:t>工程量清单</w:t>
      </w:r>
      <w:r>
        <w:rPr>
          <w:rStyle w:val="9"/>
          <w:rFonts w:ascii="宋体" w:hAnsi="宋体" w:eastAsia="宋体" w:cs="宋体"/>
          <w:color w:val="auto"/>
          <w:sz w:val="24"/>
          <w:szCs w:val="24"/>
          <w:u w:val="none"/>
        </w:rPr>
        <w:t>及图纸等招标资料发送至报名时留下的邮箱。</w:t>
      </w:r>
      <w:r>
        <w:rPr>
          <w:rFonts w:ascii="宋体" w:hAnsi="宋体" w:eastAsia="宋体" w:cs="宋体"/>
          <w:color w:val="auto"/>
          <w:sz w:val="24"/>
          <w:szCs w:val="24"/>
          <w:u w:val="none"/>
        </w:rPr>
        <w:fldChar w:fldCharType="end"/>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招标文件售价</w:t>
      </w:r>
      <w:r>
        <w:rPr>
          <w:rFonts w:hint="eastAsia" w:ascii="宋体" w:hAnsi="宋体" w:cs="宋体"/>
          <w:sz w:val="24"/>
          <w:szCs w:val="24"/>
          <w:lang w:val="en-US" w:eastAsia="zh-CN"/>
        </w:rPr>
        <w:t>5</w:t>
      </w:r>
      <w:r>
        <w:rPr>
          <w:rFonts w:ascii="宋体" w:hAnsi="宋体" w:eastAsia="宋体" w:cs="宋体"/>
          <w:sz w:val="24"/>
          <w:szCs w:val="24"/>
        </w:rPr>
        <w:t>00元/份，售后不退。购买时不接受现金，</w:t>
      </w:r>
      <w:r>
        <w:rPr>
          <w:rFonts w:hint="eastAsia" w:ascii="宋体" w:hAnsi="宋体" w:cs="宋体"/>
          <w:sz w:val="24"/>
          <w:szCs w:val="24"/>
          <w:lang w:val="en-US" w:eastAsia="zh-CN"/>
        </w:rPr>
        <w:t>招标人</w:t>
      </w:r>
      <w:r>
        <w:rPr>
          <w:rFonts w:ascii="宋体" w:hAnsi="宋体" w:eastAsia="宋体" w:cs="宋体"/>
          <w:sz w:val="24"/>
          <w:szCs w:val="24"/>
        </w:rPr>
        <w:t>财务开具收据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转账时备注“转账时备注“</w:t>
      </w:r>
      <w:r>
        <w:rPr>
          <w:rFonts w:hint="eastAsia"/>
          <w:sz w:val="24"/>
          <w:szCs w:val="32"/>
          <w:lang w:val="en-US" w:eastAsia="zh-CN"/>
        </w:rPr>
        <w:t>广巴高速公路巴中南出口边坡、巴中管理处边坡病害处治工程劳务合作项目</w:t>
      </w:r>
      <w:r>
        <w:rPr>
          <w:rFonts w:hint="eastAsia" w:ascii="宋体" w:hAnsi="宋体" w:eastAsia="宋体" w:cs="宋体"/>
          <w:sz w:val="24"/>
          <w:szCs w:val="24"/>
          <w:lang w:val="en-US" w:eastAsia="zh-CN"/>
        </w:rPr>
        <w:t>招标文件资料费”或“</w:t>
      </w:r>
      <w:r>
        <w:rPr>
          <w:rFonts w:hint="eastAsia" w:ascii="宋体" w:hAnsi="宋体" w:cs="宋体"/>
          <w:sz w:val="24"/>
          <w:szCs w:val="24"/>
          <w:lang w:val="en-US" w:eastAsia="zh-CN"/>
        </w:rPr>
        <w:t>2022-CB-05</w:t>
      </w:r>
      <w:r>
        <w:rPr>
          <w:rFonts w:hint="eastAsia" w:ascii="宋体" w:hAnsi="宋体" w:eastAsia="宋体" w:cs="宋体"/>
          <w:sz w:val="24"/>
          <w:szCs w:val="24"/>
          <w:lang w:val="en-US" w:eastAsia="zh-CN"/>
        </w:rPr>
        <w:t>分段</w:t>
      </w:r>
      <w:r>
        <w:rPr>
          <w:rFonts w:hint="eastAsia" w:ascii="宋体" w:hAnsi="宋体" w:eastAsia="宋体" w:cs="宋体"/>
          <w:sz w:val="24"/>
          <w:szCs w:val="24"/>
        </w:rPr>
        <w:t>招标文件资料费</w:t>
      </w:r>
      <w:r>
        <w:rPr>
          <w:rFonts w:hint="eastAsia" w:ascii="宋体" w:hAnsi="宋体" w:eastAsia="宋体" w:cs="宋体"/>
          <w:sz w:val="24"/>
          <w:szCs w:val="24"/>
          <w:lang w:val="en-US" w:eastAsia="zh-CN"/>
        </w:rPr>
        <w:t>”</w:t>
      </w:r>
      <w:r>
        <w:rPr>
          <w:rFonts w:ascii="宋体" w:hAnsi="宋体" w:eastAsia="宋体" w:cs="宋体"/>
          <w:sz w:val="24"/>
          <w:szCs w:val="24"/>
        </w:rPr>
        <w:t>）。</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8.评标办法：</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rPr>
      </w:pPr>
      <w:r>
        <w:rPr>
          <w:sz w:val="24"/>
        </w:rPr>
        <w:t>本工程项目评标办法采用综合评分法。</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9.投标文件的递交及相关事宜</w:t>
      </w:r>
    </w:p>
    <w:p>
      <w:pPr>
        <w:pStyle w:val="3"/>
        <w:keepNext w:val="0"/>
        <w:keepLines w:val="0"/>
        <w:pageBreakBefore w:val="0"/>
        <w:widowControl w:val="0"/>
        <w:numPr>
          <w:ilvl w:val="1"/>
          <w:numId w:val="4"/>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现场踏勘及投标预备会：</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现场踏勘：不组织现场踏勘，由投标人自行考察，并负责考察过程中的交通、安全以及相关费用。</w:t>
      </w:r>
    </w:p>
    <w:p>
      <w:pPr>
        <w:pStyle w:val="3"/>
        <w:keepNext w:val="0"/>
        <w:keepLines w:val="0"/>
        <w:pageBreakBefore w:val="0"/>
        <w:widowControl w:val="0"/>
        <w:numPr>
          <w:ilvl w:val="1"/>
          <w:numId w:val="4"/>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投标文件的送交：</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投标文件的递交截止时间为：</w:t>
      </w:r>
      <w:r>
        <w:rPr>
          <w:sz w:val="24"/>
          <w:szCs w:val="32"/>
          <w:highlight w:val="none"/>
          <w:u w:val="single"/>
        </w:rPr>
        <w:t xml:space="preserve"> 202</w:t>
      </w:r>
      <w:r>
        <w:rPr>
          <w:rFonts w:hint="eastAsia"/>
          <w:sz w:val="24"/>
          <w:szCs w:val="32"/>
          <w:highlight w:val="none"/>
          <w:u w:val="single"/>
          <w:lang w:val="en-US" w:eastAsia="zh-CN"/>
        </w:rPr>
        <w:t>2</w:t>
      </w:r>
      <w:r>
        <w:rPr>
          <w:sz w:val="24"/>
          <w:szCs w:val="32"/>
          <w:highlight w:val="none"/>
          <w:u w:val="single"/>
        </w:rPr>
        <w:t xml:space="preserve"> </w:t>
      </w:r>
      <w:r>
        <w:rPr>
          <w:sz w:val="24"/>
          <w:szCs w:val="32"/>
          <w:highlight w:val="none"/>
        </w:rPr>
        <w:t>年</w:t>
      </w:r>
      <w:r>
        <w:rPr>
          <w:rFonts w:hint="eastAsia"/>
          <w:sz w:val="24"/>
          <w:szCs w:val="32"/>
          <w:highlight w:val="none"/>
          <w:u w:val="single"/>
          <w:lang w:val="en-US" w:eastAsia="zh-CN"/>
        </w:rPr>
        <w:t>5</w:t>
      </w:r>
      <w:r>
        <w:rPr>
          <w:sz w:val="24"/>
          <w:szCs w:val="32"/>
          <w:highlight w:val="none"/>
        </w:rPr>
        <w:t>月</w:t>
      </w:r>
      <w:r>
        <w:rPr>
          <w:rFonts w:hint="eastAsia"/>
          <w:sz w:val="24"/>
          <w:szCs w:val="32"/>
          <w:highlight w:val="none"/>
          <w:u w:val="single"/>
          <w:lang w:val="en-US" w:eastAsia="zh-CN"/>
        </w:rPr>
        <w:t>16</w:t>
      </w:r>
      <w:r>
        <w:rPr>
          <w:sz w:val="24"/>
          <w:szCs w:val="32"/>
          <w:highlight w:val="none"/>
        </w:rPr>
        <w:t>日</w:t>
      </w:r>
      <w:r>
        <w:rPr>
          <w:sz w:val="24"/>
          <w:szCs w:val="32"/>
          <w:highlight w:val="none"/>
          <w:u w:val="single"/>
        </w:rPr>
        <w:t xml:space="preserve"> 10：00 </w:t>
      </w:r>
      <w:r>
        <w:rPr>
          <w:sz w:val="24"/>
          <w:szCs w:val="32"/>
          <w:highlight w:val="none"/>
        </w:rPr>
        <w:t>时，</w:t>
      </w:r>
      <w:r>
        <w:rPr>
          <w:sz w:val="24"/>
          <w:szCs w:val="32"/>
        </w:rPr>
        <w:t>投标人须将按要求密封完好的投标文件以面交方式送达：</w:t>
      </w:r>
      <w:r>
        <w:rPr>
          <w:spacing w:val="-6"/>
          <w:sz w:val="24"/>
          <w:szCs w:val="32"/>
          <w:u w:val="single"/>
        </w:rPr>
        <w:t xml:space="preserve">成都市二环路西一段 </w:t>
      </w:r>
      <w:r>
        <w:rPr>
          <w:sz w:val="24"/>
          <w:szCs w:val="32"/>
          <w:u w:val="single"/>
        </w:rPr>
        <w:t>90</w:t>
      </w:r>
      <w:r>
        <w:rPr>
          <w:spacing w:val="-40"/>
          <w:sz w:val="24"/>
          <w:szCs w:val="32"/>
          <w:u w:val="single"/>
        </w:rPr>
        <w:t xml:space="preserve"> 号 </w:t>
      </w:r>
      <w:r>
        <w:rPr>
          <w:sz w:val="24"/>
          <w:szCs w:val="32"/>
          <w:u w:val="single"/>
        </w:rPr>
        <w:t>A826</w:t>
      </w:r>
      <w:r>
        <w:rPr>
          <w:spacing w:val="-9"/>
          <w:sz w:val="24"/>
          <w:szCs w:val="32"/>
          <w:u w:val="single"/>
        </w:rPr>
        <w:t xml:space="preserve"> 本项目开标室</w:t>
      </w:r>
      <w:r>
        <w:rPr>
          <w:spacing w:val="-5"/>
          <w:sz w:val="24"/>
          <w:szCs w:val="32"/>
        </w:rPr>
        <w:t>。招标人</w:t>
      </w:r>
      <w:r>
        <w:rPr>
          <w:spacing w:val="-1"/>
          <w:sz w:val="24"/>
          <w:szCs w:val="32"/>
        </w:rPr>
        <w:t>定于投标文件送交截止时间的同一时间、同一地点举行公开开标，投标人应派代表出席并签</w:t>
      </w:r>
      <w:r>
        <w:rPr>
          <w:sz w:val="24"/>
          <w:szCs w:val="32"/>
        </w:rPr>
        <w:t>认开标结果。</w:t>
      </w:r>
    </w:p>
    <w:p>
      <w:pPr>
        <w:pStyle w:val="11"/>
        <w:keepNext w:val="0"/>
        <w:keepLines w:val="0"/>
        <w:pageBreakBefore w:val="0"/>
        <w:widowControl w:val="0"/>
        <w:numPr>
          <w:ilvl w:val="1"/>
          <w:numId w:val="4"/>
        </w:numPr>
        <w:tabs>
          <w:tab w:val="left" w:pos="1024"/>
        </w:tabs>
        <w:kinsoku/>
        <w:wordWrap/>
        <w:overflowPunct/>
        <w:topLinePunct w:val="0"/>
        <w:bidi w:val="0"/>
        <w:snapToGrid/>
        <w:spacing w:after="0" w:line="360" w:lineRule="auto"/>
        <w:ind w:left="0" w:right="0" w:firstLine="480" w:firstLineChars="200"/>
        <w:jc w:val="both"/>
        <w:textAlignment w:val="auto"/>
        <w:rPr>
          <w:sz w:val="24"/>
        </w:rPr>
      </w:pPr>
      <w:r>
        <w:rPr>
          <w:sz w:val="24"/>
        </w:rPr>
        <w:t>逾期送达的或者未送达指定地点或未按招标文件要求密封的投标文件，招标人不予受理。</w:t>
      </w:r>
    </w:p>
    <w:p>
      <w:pPr>
        <w:pStyle w:val="3"/>
        <w:keepNext w:val="0"/>
        <w:keepLines w:val="0"/>
        <w:pageBreakBefore w:val="0"/>
        <w:widowControl w:val="0"/>
        <w:numPr>
          <w:ilvl w:val="0"/>
          <w:numId w:val="5"/>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招标工作公开接受社会监督</w:t>
      </w:r>
    </w:p>
    <w:p>
      <w:pPr>
        <w:pStyle w:val="11"/>
        <w:keepNext w:val="0"/>
        <w:keepLines w:val="0"/>
        <w:pageBreakBefore w:val="0"/>
        <w:widowControl w:val="0"/>
        <w:numPr>
          <w:ilvl w:val="1"/>
          <w:numId w:val="5"/>
        </w:numPr>
        <w:tabs>
          <w:tab w:val="left" w:pos="1140"/>
        </w:tabs>
        <w:kinsoku/>
        <w:wordWrap/>
        <w:overflowPunct/>
        <w:topLinePunct w:val="0"/>
        <w:bidi w:val="0"/>
        <w:snapToGrid/>
        <w:spacing w:after="0" w:line="360" w:lineRule="auto"/>
        <w:ind w:left="0" w:right="0" w:firstLine="482" w:firstLineChars="200"/>
        <w:jc w:val="both"/>
        <w:textAlignment w:val="auto"/>
        <w:rPr>
          <w:b/>
          <w:bCs/>
          <w:sz w:val="24"/>
        </w:rPr>
      </w:pPr>
      <w:r>
        <w:rPr>
          <w:rFonts w:hint="eastAsia"/>
          <w:b/>
          <w:bCs/>
          <w:sz w:val="24"/>
          <w:lang w:val="en-US" w:eastAsia="zh-CN"/>
        </w:rPr>
        <w:t>中标结果</w:t>
      </w:r>
      <w:r>
        <w:rPr>
          <w:b/>
          <w:bCs/>
          <w:sz w:val="24"/>
        </w:rPr>
        <w:t>公示：</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rFonts w:hint="eastAsia"/>
          <w:b w:val="0"/>
          <w:bCs w:val="0"/>
          <w:sz w:val="24"/>
          <w:lang w:val="en-US" w:eastAsia="zh-CN"/>
        </w:rPr>
        <w:t>中标结果</w:t>
      </w:r>
      <w:r>
        <w:rPr>
          <w:sz w:val="24"/>
          <w:szCs w:val="32"/>
        </w:rPr>
        <w:t>在</w:t>
      </w:r>
      <w:r>
        <w:rPr>
          <w:rFonts w:hint="eastAsia"/>
          <w:sz w:val="24"/>
          <w:szCs w:val="32"/>
          <w:lang w:eastAsia="zh-CN"/>
        </w:rPr>
        <w:t>四川省交通建设集团股份有限公司</w:t>
      </w:r>
      <w:r>
        <w:rPr>
          <w:sz w:val="24"/>
          <w:szCs w:val="32"/>
        </w:rPr>
        <w:fldChar w:fldCharType="begin"/>
      </w:r>
      <w:r>
        <w:rPr>
          <w:sz w:val="24"/>
          <w:szCs w:val="32"/>
        </w:rPr>
        <w:instrText xml:space="preserve"> HYPERLINK "http://www.scjtgc.com/" \h </w:instrText>
      </w:r>
      <w:r>
        <w:rPr>
          <w:sz w:val="24"/>
          <w:szCs w:val="32"/>
        </w:rPr>
        <w:fldChar w:fldCharType="separate"/>
      </w:r>
      <w:r>
        <w:rPr>
          <w:sz w:val="24"/>
          <w:szCs w:val="32"/>
        </w:rPr>
        <w:t>官网（https://www.scjtgc.com/</w:t>
      </w:r>
      <w:r>
        <w:rPr>
          <w:sz w:val="24"/>
          <w:szCs w:val="32"/>
        </w:rPr>
        <w:fldChar w:fldCharType="end"/>
      </w:r>
      <w:r>
        <w:rPr>
          <w:sz w:val="24"/>
          <w:szCs w:val="32"/>
        </w:rPr>
        <w:t>）上公示 3 个工作日以接受社会公开监督。投标人或者其他利害关系人对评标结果有异议的，应当在中标候选人公示期间书面提出。</w:t>
      </w:r>
    </w:p>
    <w:p>
      <w:pPr>
        <w:pStyle w:val="11"/>
        <w:keepNext w:val="0"/>
        <w:keepLines w:val="0"/>
        <w:pageBreakBefore w:val="0"/>
        <w:widowControl w:val="0"/>
        <w:numPr>
          <w:ilvl w:val="1"/>
          <w:numId w:val="5"/>
        </w:numPr>
        <w:tabs>
          <w:tab w:val="left" w:pos="1140"/>
        </w:tabs>
        <w:kinsoku/>
        <w:wordWrap/>
        <w:overflowPunct/>
        <w:topLinePunct w:val="0"/>
        <w:bidi w:val="0"/>
        <w:snapToGrid/>
        <w:spacing w:after="0" w:line="360" w:lineRule="auto"/>
        <w:ind w:left="0" w:right="0" w:firstLine="482" w:firstLineChars="200"/>
        <w:jc w:val="both"/>
        <w:textAlignment w:val="auto"/>
        <w:rPr>
          <w:b/>
          <w:bCs/>
          <w:sz w:val="24"/>
        </w:rPr>
      </w:pPr>
      <w:r>
        <w:rPr>
          <w:b/>
          <w:bCs/>
          <w:sz w:val="24"/>
        </w:rPr>
        <w:t>投诉处理：</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sz w:val="24"/>
          <w:szCs w:val="32"/>
        </w:rPr>
      </w:pPr>
      <w:r>
        <w:rPr>
          <w:spacing w:val="-3"/>
          <w:sz w:val="24"/>
          <w:szCs w:val="32"/>
        </w:rPr>
        <w:t xml:space="preserve">投诉材料要求、投诉受理条件及查处参照七部委令第 </w:t>
      </w:r>
      <w:r>
        <w:rPr>
          <w:sz w:val="24"/>
          <w:szCs w:val="32"/>
        </w:rPr>
        <w:t>11</w:t>
      </w:r>
      <w:r>
        <w:rPr>
          <w:spacing w:val="-10"/>
          <w:sz w:val="24"/>
          <w:szCs w:val="32"/>
        </w:rPr>
        <w:t xml:space="preserve"> 号和川交函</w:t>
      </w:r>
      <w:r>
        <w:rPr>
          <w:sz w:val="24"/>
          <w:szCs w:val="32"/>
        </w:rPr>
        <w:t>[2017]29</w:t>
      </w:r>
      <w:r>
        <w:rPr>
          <w:spacing w:val="-4"/>
          <w:sz w:val="24"/>
          <w:szCs w:val="32"/>
        </w:rPr>
        <w:t xml:space="preserve"> 号对投诉</w:t>
      </w:r>
      <w:r>
        <w:rPr>
          <w:sz w:val="24"/>
          <w:szCs w:val="32"/>
        </w:rPr>
        <w:t>的规定执行。超出投诉时效的，则不予受理。</w:t>
      </w:r>
    </w:p>
    <w:p>
      <w:pPr>
        <w:pStyle w:val="4"/>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rFonts w:hint="eastAsia" w:ascii="宋体" w:hAnsi="宋体" w:eastAsia="宋体" w:cs="宋体"/>
          <w:sz w:val="24"/>
          <w:szCs w:val="32"/>
        </w:rPr>
      </w:pPr>
      <w:r>
        <w:rPr>
          <w:rFonts w:hint="eastAsia" w:ascii="宋体" w:hAnsi="宋体" w:eastAsia="宋体" w:cs="宋体"/>
          <w:b/>
          <w:bCs/>
          <w:sz w:val="24"/>
          <w:szCs w:val="32"/>
        </w:rPr>
        <w:t>10.3 监督电话：</w:t>
      </w:r>
      <w:r>
        <w:rPr>
          <w:rFonts w:hint="eastAsia" w:ascii="宋体" w:hAnsi="宋体" w:eastAsia="宋体" w:cs="宋体"/>
          <w:sz w:val="24"/>
          <w:szCs w:val="32"/>
        </w:rPr>
        <w:t>028-62432686</w:t>
      </w:r>
    </w:p>
    <w:p>
      <w:pPr>
        <w:pStyle w:val="3"/>
        <w:keepNext w:val="0"/>
        <w:keepLines w:val="0"/>
        <w:pageBreakBefore w:val="0"/>
        <w:widowControl w:val="0"/>
        <w:numPr>
          <w:ilvl w:val="0"/>
          <w:numId w:val="5"/>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lang w:val="en-US" w:eastAsia="zh-CN"/>
        </w:rPr>
        <w:t>缴纳</w:t>
      </w:r>
      <w:r>
        <w:rPr>
          <w:rFonts w:hint="eastAsia" w:ascii="宋体" w:eastAsia="宋体"/>
        </w:rPr>
        <w:t>投标保证金</w:t>
      </w:r>
      <w:r>
        <w:rPr>
          <w:rFonts w:hint="eastAsia" w:ascii="宋体" w:eastAsia="宋体"/>
          <w:lang w:val="en-US" w:eastAsia="zh-CN"/>
        </w:rPr>
        <w:t>及购买招标文件费用</w:t>
      </w:r>
      <w:r>
        <w:rPr>
          <w:rFonts w:hint="eastAsia" w:ascii="宋体" w:eastAsia="宋体"/>
        </w:rPr>
        <w:t>账户：</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rFonts w:hint="eastAsia"/>
          <w:spacing w:val="-3"/>
          <w:sz w:val="24"/>
          <w:szCs w:val="32"/>
          <w:lang w:eastAsia="zh-CN"/>
        </w:rPr>
      </w:pPr>
      <w:r>
        <w:rPr>
          <w:rFonts w:hint="eastAsia"/>
          <w:spacing w:val="-3"/>
          <w:sz w:val="24"/>
          <w:szCs w:val="32"/>
        </w:rPr>
        <w:t>开户名称：</w:t>
      </w:r>
      <w:r>
        <w:rPr>
          <w:rFonts w:hint="eastAsia"/>
          <w:spacing w:val="-3"/>
          <w:sz w:val="24"/>
          <w:szCs w:val="32"/>
          <w:lang w:eastAsia="zh-CN"/>
        </w:rPr>
        <w:t>四川省交通建设集团股份有限公司</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spacing w:val="-3"/>
          <w:sz w:val="24"/>
          <w:szCs w:val="32"/>
        </w:rPr>
      </w:pPr>
      <w:r>
        <w:rPr>
          <w:rFonts w:hint="eastAsia"/>
          <w:spacing w:val="-3"/>
          <w:sz w:val="24"/>
          <w:szCs w:val="32"/>
        </w:rPr>
        <w:t>开户行：中国建设银行股份有限公司成都南郊支行</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spacing w:val="-3"/>
          <w:sz w:val="24"/>
          <w:szCs w:val="32"/>
        </w:rPr>
      </w:pPr>
      <w:r>
        <w:rPr>
          <w:rFonts w:hint="eastAsia"/>
          <w:spacing w:val="-3"/>
          <w:sz w:val="24"/>
          <w:szCs w:val="32"/>
        </w:rPr>
        <w:t>银行帐号：5105 0187 5136 0000 0229</w:t>
      </w:r>
    </w:p>
    <w:p>
      <w:pPr>
        <w:pStyle w:val="3"/>
        <w:keepNext w:val="0"/>
        <w:keepLines w:val="0"/>
        <w:pageBreakBefore w:val="0"/>
        <w:widowControl w:val="0"/>
        <w:numPr>
          <w:ilvl w:val="0"/>
          <w:numId w:val="5"/>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联系方式</w:t>
      </w:r>
    </w:p>
    <w:p>
      <w:pPr>
        <w:pStyle w:val="4"/>
        <w:spacing w:before="161"/>
        <w:ind w:left="599"/>
        <w:rPr>
          <w:rFonts w:hint="eastAsia" w:eastAsia="宋体"/>
          <w:sz w:val="24"/>
          <w:szCs w:val="32"/>
          <w:lang w:eastAsia="zh-CN"/>
        </w:rPr>
      </w:pPr>
      <w:r>
        <w:rPr>
          <w:sz w:val="24"/>
          <w:szCs w:val="32"/>
        </w:rPr>
        <w:t>招 标 人：</w:t>
      </w:r>
      <w:r>
        <w:rPr>
          <w:rFonts w:hint="eastAsia"/>
          <w:sz w:val="24"/>
          <w:szCs w:val="32"/>
          <w:lang w:eastAsia="zh-CN"/>
        </w:rPr>
        <w:t>四川省交通建设集团股份有限公司</w:t>
      </w:r>
    </w:p>
    <w:p>
      <w:pPr>
        <w:pStyle w:val="4"/>
        <w:tabs>
          <w:tab w:val="left" w:pos="1319"/>
        </w:tabs>
        <w:spacing w:before="158"/>
        <w:ind w:left="599"/>
        <w:rPr>
          <w:sz w:val="24"/>
          <w:szCs w:val="32"/>
        </w:rPr>
      </w:pPr>
      <w:r>
        <w:rPr>
          <w:sz w:val="24"/>
          <w:szCs w:val="32"/>
        </w:rPr>
        <w:t>地</w:t>
      </w:r>
      <w:r>
        <w:rPr>
          <w:sz w:val="24"/>
          <w:szCs w:val="32"/>
        </w:rPr>
        <w:tab/>
      </w:r>
      <w:r>
        <w:rPr>
          <w:sz w:val="24"/>
          <w:szCs w:val="32"/>
        </w:rPr>
        <w:t>址：成都市二环路西一段</w:t>
      </w:r>
      <w:r>
        <w:rPr>
          <w:spacing w:val="-60"/>
          <w:sz w:val="24"/>
          <w:szCs w:val="32"/>
        </w:rPr>
        <w:t xml:space="preserve"> </w:t>
      </w:r>
      <w:r>
        <w:rPr>
          <w:sz w:val="24"/>
          <w:szCs w:val="32"/>
        </w:rPr>
        <w:t>90</w:t>
      </w:r>
      <w:r>
        <w:rPr>
          <w:spacing w:val="-60"/>
          <w:sz w:val="24"/>
          <w:szCs w:val="32"/>
        </w:rPr>
        <w:t xml:space="preserve"> </w:t>
      </w:r>
      <w:r>
        <w:rPr>
          <w:sz w:val="24"/>
          <w:szCs w:val="32"/>
        </w:rPr>
        <w:t>号交投大厦</w:t>
      </w:r>
      <w:r>
        <w:rPr>
          <w:spacing w:val="-60"/>
          <w:sz w:val="24"/>
          <w:szCs w:val="32"/>
        </w:rPr>
        <w:t xml:space="preserve"> </w:t>
      </w:r>
      <w:r>
        <w:rPr>
          <w:sz w:val="24"/>
          <w:szCs w:val="32"/>
        </w:rPr>
        <w:t>8</w:t>
      </w:r>
      <w:r>
        <w:rPr>
          <w:spacing w:val="-60"/>
          <w:sz w:val="24"/>
          <w:szCs w:val="32"/>
        </w:rPr>
        <w:t xml:space="preserve"> </w:t>
      </w:r>
      <w:r>
        <w:rPr>
          <w:sz w:val="24"/>
          <w:szCs w:val="32"/>
        </w:rPr>
        <w:t>楼</w:t>
      </w:r>
    </w:p>
    <w:p>
      <w:pPr>
        <w:pStyle w:val="4"/>
        <w:tabs>
          <w:tab w:val="left" w:pos="5759"/>
        </w:tabs>
        <w:spacing w:before="158"/>
        <w:ind w:left="599"/>
        <w:rPr>
          <w:sz w:val="24"/>
          <w:szCs w:val="32"/>
        </w:rPr>
      </w:pPr>
      <w:r>
        <w:rPr>
          <w:sz w:val="24"/>
          <w:szCs w:val="32"/>
        </w:rPr>
        <w:t>联 系 人：王女士</w:t>
      </w:r>
      <w:r>
        <w:rPr>
          <w:sz w:val="24"/>
          <w:szCs w:val="32"/>
        </w:rPr>
        <w:tab/>
      </w:r>
      <w:r>
        <w:rPr>
          <w:sz w:val="24"/>
          <w:szCs w:val="32"/>
        </w:rPr>
        <w:t>联 系 人：何先生</w:t>
      </w:r>
    </w:p>
    <w:p>
      <w:pPr>
        <w:pStyle w:val="4"/>
        <w:tabs>
          <w:tab w:val="left" w:pos="1319"/>
          <w:tab w:val="left" w:pos="5759"/>
          <w:tab w:val="left" w:pos="6479"/>
        </w:tabs>
        <w:spacing w:before="161"/>
        <w:ind w:left="599"/>
        <w:rPr>
          <w:sz w:val="24"/>
          <w:szCs w:val="32"/>
        </w:rPr>
      </w:pPr>
      <w:r>
        <w:rPr>
          <w:sz w:val="24"/>
          <w:szCs w:val="32"/>
        </w:rPr>
        <w:t>电</w:t>
      </w:r>
      <w:r>
        <w:rPr>
          <w:sz w:val="24"/>
          <w:szCs w:val="32"/>
        </w:rPr>
        <w:tab/>
      </w:r>
      <w:r>
        <w:rPr>
          <w:sz w:val="24"/>
          <w:szCs w:val="32"/>
        </w:rPr>
        <w:t>话：18502892727</w:t>
      </w:r>
      <w:r>
        <w:rPr>
          <w:sz w:val="24"/>
          <w:szCs w:val="32"/>
        </w:rPr>
        <w:tab/>
      </w:r>
      <w:r>
        <w:rPr>
          <w:sz w:val="24"/>
          <w:szCs w:val="32"/>
        </w:rPr>
        <w:t>电</w:t>
      </w:r>
      <w:r>
        <w:rPr>
          <w:sz w:val="24"/>
          <w:szCs w:val="32"/>
        </w:rPr>
        <w:tab/>
      </w:r>
      <w:r>
        <w:rPr>
          <w:sz w:val="24"/>
          <w:szCs w:val="32"/>
        </w:rPr>
        <w:t>话：18780541089</w:t>
      </w:r>
    </w:p>
    <w:p>
      <w:pPr>
        <w:pStyle w:val="4"/>
      </w:pPr>
    </w:p>
    <w:p>
      <w:pPr>
        <w:pStyle w:val="4"/>
      </w:pPr>
    </w:p>
    <w:p>
      <w:pPr>
        <w:pStyle w:val="4"/>
      </w:pPr>
    </w:p>
    <w:p>
      <w:pPr>
        <w:pStyle w:val="4"/>
      </w:pPr>
    </w:p>
    <w:p>
      <w:pPr>
        <w:pStyle w:val="4"/>
        <w:spacing w:before="9"/>
        <w:rPr>
          <w:sz w:val="25"/>
        </w:rPr>
      </w:pPr>
    </w:p>
    <w:p>
      <w:pPr>
        <w:pStyle w:val="4"/>
        <w:ind w:left="4576"/>
        <w:rPr>
          <w:rFonts w:hint="eastAsia" w:eastAsia="宋体"/>
          <w:sz w:val="24"/>
          <w:szCs w:val="32"/>
          <w:lang w:eastAsia="zh-CN"/>
        </w:rPr>
      </w:pPr>
      <w:r>
        <w:rPr>
          <w:sz w:val="24"/>
          <w:szCs w:val="32"/>
        </w:rPr>
        <w:t>招 标 人：</w:t>
      </w:r>
      <w:r>
        <w:rPr>
          <w:rFonts w:hint="eastAsia"/>
          <w:sz w:val="24"/>
          <w:szCs w:val="32"/>
          <w:lang w:eastAsia="zh-CN"/>
        </w:rPr>
        <w:t>四川省交通建设集团股份有限公司</w:t>
      </w:r>
    </w:p>
    <w:p>
      <w:pPr>
        <w:pStyle w:val="4"/>
        <w:spacing w:before="160"/>
        <w:ind w:left="6572"/>
        <w:rPr>
          <w:sz w:val="24"/>
          <w:szCs w:val="32"/>
        </w:rPr>
      </w:pPr>
      <w:r>
        <w:rPr>
          <w:sz w:val="24"/>
          <w:szCs w:val="32"/>
        </w:rPr>
        <w:t>202</w:t>
      </w:r>
      <w:r>
        <w:rPr>
          <w:rFonts w:hint="eastAsia"/>
          <w:sz w:val="24"/>
          <w:szCs w:val="32"/>
          <w:lang w:val="en-US" w:eastAsia="zh-CN"/>
        </w:rPr>
        <w:t>2</w:t>
      </w:r>
      <w:r>
        <w:rPr>
          <w:sz w:val="24"/>
          <w:szCs w:val="32"/>
        </w:rPr>
        <w:t xml:space="preserve"> 年</w:t>
      </w:r>
      <w:r>
        <w:rPr>
          <w:rFonts w:hint="eastAsia"/>
          <w:sz w:val="24"/>
          <w:szCs w:val="32"/>
          <w:lang w:val="en-US" w:eastAsia="zh-CN"/>
        </w:rPr>
        <w:t>4</w:t>
      </w:r>
      <w:r>
        <w:rPr>
          <w:sz w:val="24"/>
          <w:szCs w:val="32"/>
        </w:rPr>
        <w:t>月</w:t>
      </w:r>
      <w:r>
        <w:rPr>
          <w:rFonts w:hint="eastAsia"/>
          <w:sz w:val="24"/>
          <w:szCs w:val="32"/>
          <w:lang w:val="en-US" w:eastAsia="zh-CN"/>
        </w:rPr>
        <w:t>28</w:t>
      </w:r>
      <w:r>
        <w:rPr>
          <w:sz w:val="24"/>
          <w:szCs w:val="32"/>
        </w:rPr>
        <w:t>日</w:t>
      </w:r>
    </w:p>
    <w:p>
      <w:pPr>
        <w:spacing w:after="0"/>
        <w:rPr>
          <w:sz w:val="24"/>
          <w:szCs w:val="28"/>
        </w:rPr>
        <w:sectPr>
          <w:footerReference r:id="rId3" w:type="default"/>
          <w:pgSz w:w="11920" w:h="16840"/>
          <w:pgMar w:top="1540" w:right="1040" w:bottom="1542" w:left="980" w:header="0" w:footer="494" w:gutter="0"/>
          <w:pgBorders>
            <w:top w:val="none" w:sz="0" w:space="0"/>
            <w:left w:val="none" w:sz="0" w:space="0"/>
            <w:bottom w:val="none" w:sz="0" w:space="0"/>
            <w:right w:val="none" w:sz="0" w:space="0"/>
          </w:pgBorders>
          <w:cols w:space="720" w:num="1"/>
        </w:sectPr>
      </w:pPr>
    </w:p>
    <w:p>
      <w:pPr>
        <w:pStyle w:val="2"/>
        <w:ind w:firstLine="0"/>
        <w:jc w:val="left"/>
        <w:rPr>
          <w:rFonts w:hint="eastAsia" w:ascii="宋体" w:hAnsi="宋体" w:eastAsia="宋体" w:cs="宋体"/>
          <w:b/>
          <w:color w:val="auto"/>
          <w:sz w:val="28"/>
          <w:szCs w:val="28"/>
          <w:highlight w:val="none"/>
        </w:rPr>
      </w:pPr>
    </w:p>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4"/>
        <w:spacing w:before="5"/>
        <w:rPr>
          <w:rFonts w:ascii="仿宋"/>
          <w:b/>
          <w:sz w:val="28"/>
        </w:rPr>
      </w:pPr>
    </w:p>
    <w:tbl>
      <w:tblPr>
        <w:tblStyle w:val="7"/>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080" w:type="dxa"/>
          </w:tcPr>
          <w:p>
            <w:pPr>
              <w:pStyle w:val="12"/>
              <w:spacing w:before="15" w:line="253" w:lineRule="exact"/>
              <w:ind w:left="309" w:right="300"/>
              <w:jc w:val="center"/>
              <w:rPr>
                <w:sz w:val="21"/>
              </w:rPr>
            </w:pPr>
            <w:r>
              <w:rPr>
                <w:sz w:val="21"/>
              </w:rPr>
              <w:t>序号</w:t>
            </w:r>
          </w:p>
        </w:tc>
        <w:tc>
          <w:tcPr>
            <w:tcW w:w="1563" w:type="dxa"/>
          </w:tcPr>
          <w:p>
            <w:pPr>
              <w:pStyle w:val="12"/>
              <w:spacing w:before="15" w:line="253" w:lineRule="exact"/>
              <w:ind w:left="24" w:right="16"/>
              <w:jc w:val="center"/>
              <w:rPr>
                <w:sz w:val="21"/>
              </w:rPr>
            </w:pPr>
            <w:r>
              <w:rPr>
                <w:sz w:val="21"/>
              </w:rPr>
              <w:t>工 种</w:t>
            </w:r>
          </w:p>
        </w:tc>
        <w:tc>
          <w:tcPr>
            <w:tcW w:w="1714" w:type="dxa"/>
          </w:tcPr>
          <w:p>
            <w:pPr>
              <w:pStyle w:val="12"/>
              <w:spacing w:before="15" w:line="253" w:lineRule="exact"/>
              <w:ind w:right="428"/>
              <w:jc w:val="right"/>
              <w:rPr>
                <w:sz w:val="21"/>
              </w:rPr>
            </w:pPr>
            <w:r>
              <w:rPr>
                <w:w w:val="95"/>
                <w:sz w:val="21"/>
              </w:rPr>
              <w:t>工作任务</w:t>
            </w:r>
          </w:p>
        </w:tc>
        <w:tc>
          <w:tcPr>
            <w:tcW w:w="2796" w:type="dxa"/>
          </w:tcPr>
          <w:p>
            <w:pPr>
              <w:pStyle w:val="12"/>
              <w:spacing w:before="15" w:line="253" w:lineRule="exact"/>
              <w:ind w:left="956" w:right="949"/>
              <w:jc w:val="center"/>
              <w:rPr>
                <w:sz w:val="21"/>
              </w:rPr>
            </w:pPr>
            <w:r>
              <w:rPr>
                <w:sz w:val="21"/>
              </w:rPr>
              <w:t>最低要求</w:t>
            </w:r>
          </w:p>
        </w:tc>
        <w:tc>
          <w:tcPr>
            <w:tcW w:w="1275" w:type="dxa"/>
          </w:tcPr>
          <w:p>
            <w:pPr>
              <w:pStyle w:val="12"/>
              <w:spacing w:before="15" w:line="253" w:lineRule="exact"/>
              <w:ind w:left="404" w:right="400"/>
              <w:jc w:val="center"/>
              <w:rPr>
                <w:sz w:val="21"/>
              </w:rPr>
            </w:pPr>
            <w:r>
              <w:rPr>
                <w:sz w:val="21"/>
              </w:rPr>
              <w:t>人数</w:t>
            </w:r>
          </w:p>
        </w:tc>
        <w:tc>
          <w:tcPr>
            <w:tcW w:w="1072" w:type="dxa"/>
          </w:tcPr>
          <w:p>
            <w:pPr>
              <w:pStyle w:val="12"/>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80" w:type="dxa"/>
          </w:tcPr>
          <w:p>
            <w:pPr>
              <w:pStyle w:val="12"/>
              <w:spacing w:before="12"/>
              <w:rPr>
                <w:rFonts w:ascii="仿宋"/>
                <w:b/>
                <w:sz w:val="20"/>
              </w:rPr>
            </w:pPr>
          </w:p>
          <w:p>
            <w:pPr>
              <w:pStyle w:val="12"/>
              <w:ind w:left="8"/>
              <w:jc w:val="center"/>
              <w:rPr>
                <w:sz w:val="21"/>
              </w:rPr>
            </w:pPr>
            <w:r>
              <w:rPr>
                <w:w w:val="99"/>
                <w:sz w:val="21"/>
              </w:rPr>
              <w:t>1</w:t>
            </w:r>
          </w:p>
        </w:tc>
        <w:tc>
          <w:tcPr>
            <w:tcW w:w="1563" w:type="dxa"/>
          </w:tcPr>
          <w:p>
            <w:pPr>
              <w:pStyle w:val="12"/>
              <w:spacing w:before="12"/>
              <w:rPr>
                <w:rFonts w:ascii="仿宋"/>
                <w:b/>
                <w:sz w:val="20"/>
              </w:rPr>
            </w:pPr>
          </w:p>
          <w:p>
            <w:pPr>
              <w:pStyle w:val="12"/>
              <w:ind w:left="24" w:right="16"/>
              <w:jc w:val="center"/>
              <w:rPr>
                <w:sz w:val="21"/>
              </w:rPr>
            </w:pPr>
            <w:r>
              <w:rPr>
                <w:sz w:val="21"/>
              </w:rPr>
              <w:t>项目负责人</w:t>
            </w:r>
          </w:p>
        </w:tc>
        <w:tc>
          <w:tcPr>
            <w:tcW w:w="1714" w:type="dxa"/>
          </w:tcPr>
          <w:p>
            <w:pPr>
              <w:pStyle w:val="12"/>
              <w:spacing w:before="132" w:line="242" w:lineRule="auto"/>
              <w:ind w:left="15" w:right="3"/>
              <w:rPr>
                <w:sz w:val="21"/>
              </w:rPr>
            </w:pPr>
            <w:r>
              <w:rPr>
                <w:sz w:val="21"/>
              </w:rPr>
              <w:t>牵头负责项目总体工作</w:t>
            </w:r>
          </w:p>
        </w:tc>
        <w:tc>
          <w:tcPr>
            <w:tcW w:w="2796" w:type="dxa"/>
            <w:vAlign w:val="center"/>
          </w:tcPr>
          <w:p>
            <w:pPr>
              <w:pStyle w:val="12"/>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（养护、新建、改扩建满足一项即可）。</w:t>
            </w:r>
          </w:p>
        </w:tc>
        <w:tc>
          <w:tcPr>
            <w:tcW w:w="1275" w:type="dxa"/>
          </w:tcPr>
          <w:p>
            <w:pPr>
              <w:pStyle w:val="12"/>
              <w:spacing w:before="12"/>
              <w:rPr>
                <w:rFonts w:ascii="仿宋"/>
                <w:b/>
                <w:sz w:val="20"/>
              </w:rPr>
            </w:pPr>
          </w:p>
          <w:p>
            <w:pPr>
              <w:pStyle w:val="12"/>
              <w:ind w:left="7"/>
              <w:jc w:val="center"/>
              <w:rPr>
                <w:sz w:val="21"/>
              </w:rPr>
            </w:pPr>
            <w:r>
              <w:rPr>
                <w:w w:val="99"/>
                <w:sz w:val="21"/>
              </w:rPr>
              <w:t>1</w:t>
            </w:r>
          </w:p>
        </w:tc>
        <w:tc>
          <w:tcPr>
            <w:tcW w:w="1072" w:type="dxa"/>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vAlign w:val="center"/>
          </w:tcPr>
          <w:p>
            <w:pPr>
              <w:pStyle w:val="12"/>
              <w:spacing w:before="139"/>
              <w:ind w:left="8"/>
              <w:jc w:val="center"/>
              <w:rPr>
                <w:rFonts w:hint="default" w:eastAsia="宋体"/>
                <w:w w:val="99"/>
                <w:sz w:val="21"/>
                <w:lang w:val="en-US" w:eastAsia="zh-CN"/>
              </w:rPr>
            </w:pPr>
            <w:r>
              <w:rPr>
                <w:rFonts w:hint="eastAsia"/>
                <w:w w:val="99"/>
                <w:sz w:val="21"/>
                <w:lang w:val="en-US" w:eastAsia="zh-CN"/>
              </w:rPr>
              <w:t>2</w:t>
            </w:r>
          </w:p>
        </w:tc>
        <w:tc>
          <w:tcPr>
            <w:tcW w:w="1563"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sz w:val="21"/>
              </w:rPr>
              <w:t>项目技术负责人</w:t>
            </w:r>
          </w:p>
        </w:tc>
        <w:tc>
          <w:tcPr>
            <w:tcW w:w="171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sz w:val="21"/>
              </w:rPr>
              <w:t>协助项目负责人负责项目进度、质量工作</w:t>
            </w:r>
          </w:p>
        </w:tc>
        <w:tc>
          <w:tcPr>
            <w:tcW w:w="2796" w:type="dxa"/>
            <w:vAlign w:val="center"/>
          </w:tcPr>
          <w:p>
            <w:pPr>
              <w:pStyle w:val="12"/>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（养护、新建、改扩建满足一项即可）。</w:t>
            </w:r>
          </w:p>
        </w:tc>
        <w:tc>
          <w:tcPr>
            <w:tcW w:w="1275" w:type="dxa"/>
            <w:vAlign w:val="center"/>
          </w:tcPr>
          <w:p>
            <w:pPr>
              <w:pStyle w:val="12"/>
              <w:spacing w:before="139"/>
              <w:ind w:left="7"/>
              <w:jc w:val="center"/>
              <w:rPr>
                <w:w w:val="99"/>
                <w:sz w:val="21"/>
              </w:rPr>
            </w:pPr>
            <w:r>
              <w:rPr>
                <w:w w:val="99"/>
                <w:sz w:val="21"/>
              </w:rPr>
              <w:t>1</w:t>
            </w:r>
          </w:p>
        </w:tc>
        <w:tc>
          <w:tcPr>
            <w:tcW w:w="1072" w:type="dxa"/>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1080" w:type="dxa"/>
            <w:vAlign w:val="center"/>
          </w:tcPr>
          <w:p>
            <w:pPr>
              <w:pStyle w:val="12"/>
              <w:spacing w:before="139"/>
              <w:ind w:left="8"/>
              <w:jc w:val="center"/>
              <w:rPr>
                <w:rFonts w:hint="default"/>
                <w:w w:val="99"/>
                <w:sz w:val="21"/>
                <w:lang w:val="en-US" w:eastAsia="zh-CN"/>
              </w:rPr>
            </w:pPr>
            <w:r>
              <w:rPr>
                <w:rFonts w:hint="eastAsia"/>
                <w:w w:val="99"/>
                <w:sz w:val="21"/>
                <w:lang w:val="en-US" w:eastAsia="zh-CN"/>
              </w:rPr>
              <w:t>3</w:t>
            </w:r>
          </w:p>
        </w:tc>
        <w:tc>
          <w:tcPr>
            <w:tcW w:w="1563"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安全</w:t>
            </w:r>
            <w:r>
              <w:rPr>
                <w:rFonts w:hint="eastAsia" w:ascii="宋体" w:hAnsi="宋体" w:cs="宋体"/>
                <w:i w:val="0"/>
                <w:color w:val="000000"/>
                <w:kern w:val="0"/>
                <w:sz w:val="20"/>
                <w:szCs w:val="20"/>
                <w:u w:val="none"/>
                <w:lang w:val="en-US" w:eastAsia="zh-CN" w:bidi="ar"/>
              </w:rPr>
              <w:t>负责人</w:t>
            </w:r>
          </w:p>
        </w:tc>
        <w:tc>
          <w:tcPr>
            <w:tcW w:w="1714"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协作项目负责人管理安全相关工作</w:t>
            </w:r>
          </w:p>
        </w:tc>
        <w:tc>
          <w:tcPr>
            <w:tcW w:w="2796" w:type="dxa"/>
            <w:vAlign w:val="center"/>
          </w:tcPr>
          <w:p>
            <w:pPr>
              <w:pStyle w:val="12"/>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公路路基边坡</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r>
              <w:rPr>
                <w:rFonts w:hint="eastAsia" w:cs="宋体"/>
                <w:b w:val="0"/>
                <w:bCs/>
                <w:sz w:val="21"/>
                <w:szCs w:val="28"/>
                <w:lang w:val="en-US" w:eastAsia="zh-CN"/>
              </w:rPr>
              <w:t>（养护、新建、改扩建满足一项即可），持安全员C类证书</w:t>
            </w:r>
            <w:r>
              <w:rPr>
                <w:rFonts w:hint="eastAsia" w:ascii="宋体" w:hAnsi="宋体" w:eastAsia="宋体" w:cs="宋体"/>
                <w:b w:val="0"/>
                <w:bCs/>
                <w:sz w:val="21"/>
                <w:szCs w:val="28"/>
                <w:lang w:val="en-US" w:eastAsia="zh-CN"/>
              </w:rPr>
              <w:t>。</w:t>
            </w:r>
          </w:p>
        </w:tc>
        <w:tc>
          <w:tcPr>
            <w:tcW w:w="1275" w:type="dxa"/>
            <w:vAlign w:val="center"/>
          </w:tcPr>
          <w:p>
            <w:pPr>
              <w:pStyle w:val="12"/>
              <w:spacing w:before="139"/>
              <w:ind w:left="7"/>
              <w:jc w:val="center"/>
              <w:rPr>
                <w:rFonts w:hint="eastAsia" w:eastAsia="宋体"/>
                <w:w w:val="99"/>
                <w:sz w:val="21"/>
                <w:lang w:val="en-US" w:eastAsia="zh-CN"/>
              </w:rPr>
            </w:pPr>
            <w:r>
              <w:rPr>
                <w:rFonts w:hint="eastAsia"/>
                <w:w w:val="99"/>
                <w:sz w:val="21"/>
                <w:lang w:val="en-US" w:eastAsia="zh-CN"/>
              </w:rPr>
              <w:t>1</w:t>
            </w:r>
          </w:p>
        </w:tc>
        <w:tc>
          <w:tcPr>
            <w:tcW w:w="1072" w:type="dxa"/>
          </w:tcPr>
          <w:p>
            <w:pPr>
              <w:pStyle w:val="12"/>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4"/>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4"/>
        <w:spacing w:before="5"/>
        <w:rPr>
          <w:rFonts w:ascii="仿宋"/>
          <w:b/>
          <w:sz w:val="16"/>
        </w:rPr>
      </w:pPr>
    </w:p>
    <w:tbl>
      <w:tblPr>
        <w:tblStyle w:val="7"/>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220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7</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装载机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自卸汽车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20T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4"/>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sectPr>
          <w:headerReference r:id="rId4" w:type="default"/>
          <w:footerReference r:id="rId5" w:type="default"/>
          <w:pgSz w:w="11920" w:h="16840"/>
          <w:pgMar w:top="2560" w:right="900" w:bottom="600" w:left="820" w:header="1641" w:footer="409" w:gutter="0"/>
          <w:pgBorders>
            <w:top w:val="none" w:sz="0" w:space="0"/>
            <w:left w:val="none" w:sz="0" w:space="0"/>
            <w:bottom w:val="none" w:sz="0" w:space="0"/>
            <w:right w:val="none" w:sz="0" w:space="0"/>
          </w:pgBorders>
          <w:pgNumType w:start="10"/>
          <w:cols w:space="720" w:num="1"/>
        </w:sectPr>
      </w:pPr>
      <w:r>
        <w:rPr>
          <w:sz w:val="18"/>
        </w:rPr>
        <w:t>3、自有设备需提供购买发票或公证机关出具的公证书。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3647440</wp:posOffset>
              </wp:positionH>
              <wp:positionV relativeFrom="page">
                <wp:posOffset>10238105</wp:posOffset>
              </wp:positionV>
              <wp:extent cx="215900" cy="152400"/>
              <wp:effectExtent l="0" t="0" r="0" b="0"/>
              <wp:wrapNone/>
              <wp:docPr id="64" name="文本框 2"/>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wps:txbx>
                    <wps:bodyPr lIns="0" tIns="0" rIns="0" bIns="0" upright="1"/>
                  </wps:wsp>
                </a:graphicData>
              </a:graphic>
            </wp:anchor>
          </w:drawing>
        </mc:Choice>
        <mc:Fallback>
          <w:pict>
            <v:shape id="文本框 2" o:spid="_x0000_s1026" o:spt="202" type="#_x0000_t202" style="position:absolute;left:0pt;margin-left:287.2pt;margin-top:806.15pt;height:12pt;width:17pt;mso-position-horizontal-relative:page;mso-position-vertical-relative:page;z-index:-251657216;mso-width-relative:page;mso-height-relative:page;" filled="f" stroked="f" coordsize="21600,21600" o:gfxdata="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tzAKt2gAAAA0BAAAPAAAAAAAAAAEAIAAAACIAAABkcnMvZG93bnJldi54bWxQSwEC&#10;FAAUAAAACACHTuJAHThL87kBAAByAwAADgAAAAAAAAABACAAAAApAQAAZHJzL2Uyb0RvYy54bWxQ&#10;SwUGAAAAAAYABgBZAQAAVAU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w:t>
                    </w:r>
                    <w:r>
                      <w:fldChar w:fldCharType="end"/>
                    </w:r>
                    <w:r>
                      <w:rPr>
                        <w:rFonts w:ascii="Times New Roman"/>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mc:AlternateContent>
        <mc:Choice Requires="wps">
          <w:drawing>
            <wp:anchor distT="0" distB="0" distL="114300" distR="114300" simplePos="0" relativeHeight="251661312"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5168;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0"/>
      <w:numFmt w:val="decimal"/>
      <w:lvlText w:val="%1."/>
      <w:lvlJc w:val="left"/>
      <w:pPr>
        <w:ind w:left="902" w:hanging="36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39"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12" w:hanging="540"/>
      </w:pPr>
      <w:rPr>
        <w:rFonts w:hint="default"/>
        <w:lang w:val="zh-CN" w:eastAsia="zh-CN" w:bidi="zh-CN"/>
      </w:rPr>
    </w:lvl>
    <w:lvl w:ilvl="3" w:tentative="0">
      <w:start w:val="0"/>
      <w:numFmt w:val="bullet"/>
      <w:lvlText w:val="•"/>
      <w:lvlJc w:val="left"/>
      <w:pPr>
        <w:ind w:left="3084" w:hanging="540"/>
      </w:pPr>
      <w:rPr>
        <w:rFonts w:hint="default"/>
        <w:lang w:val="zh-CN" w:eastAsia="zh-CN" w:bidi="zh-CN"/>
      </w:rPr>
    </w:lvl>
    <w:lvl w:ilvl="4" w:tentative="0">
      <w:start w:val="0"/>
      <w:numFmt w:val="bullet"/>
      <w:lvlText w:val="•"/>
      <w:lvlJc w:val="left"/>
      <w:pPr>
        <w:ind w:left="4057" w:hanging="540"/>
      </w:pPr>
      <w:rPr>
        <w:rFonts w:hint="default"/>
        <w:lang w:val="zh-CN" w:eastAsia="zh-CN" w:bidi="zh-CN"/>
      </w:rPr>
    </w:lvl>
    <w:lvl w:ilvl="5" w:tentative="0">
      <w:start w:val="0"/>
      <w:numFmt w:val="bullet"/>
      <w:lvlText w:val="•"/>
      <w:lvlJc w:val="left"/>
      <w:pPr>
        <w:ind w:left="5029" w:hanging="540"/>
      </w:pPr>
      <w:rPr>
        <w:rFonts w:hint="default"/>
        <w:lang w:val="zh-CN" w:eastAsia="zh-CN" w:bidi="zh-CN"/>
      </w:rPr>
    </w:lvl>
    <w:lvl w:ilvl="6" w:tentative="0">
      <w:start w:val="0"/>
      <w:numFmt w:val="bullet"/>
      <w:lvlText w:val="•"/>
      <w:lvlJc w:val="left"/>
      <w:pPr>
        <w:ind w:left="6001" w:hanging="540"/>
      </w:pPr>
      <w:rPr>
        <w:rFonts w:hint="default"/>
        <w:lang w:val="zh-CN" w:eastAsia="zh-CN" w:bidi="zh-CN"/>
      </w:rPr>
    </w:lvl>
    <w:lvl w:ilvl="7" w:tentative="0">
      <w:start w:val="0"/>
      <w:numFmt w:val="bullet"/>
      <w:lvlText w:val="•"/>
      <w:lvlJc w:val="left"/>
      <w:pPr>
        <w:ind w:left="6974" w:hanging="540"/>
      </w:pPr>
      <w:rPr>
        <w:rFonts w:hint="default"/>
        <w:lang w:val="zh-CN" w:eastAsia="zh-CN" w:bidi="zh-CN"/>
      </w:rPr>
    </w:lvl>
    <w:lvl w:ilvl="8" w:tentative="0">
      <w:start w:val="0"/>
      <w:numFmt w:val="bullet"/>
      <w:lvlText w:val="•"/>
      <w:lvlJc w:val="left"/>
      <w:pPr>
        <w:ind w:left="7946" w:hanging="540"/>
      </w:pPr>
      <w:rPr>
        <w:rFonts w:hint="default"/>
        <w:lang w:val="zh-CN" w:eastAsia="zh-CN" w:bidi="zh-CN"/>
      </w:rPr>
    </w:lvl>
  </w:abstractNum>
  <w:abstractNum w:abstractNumId="1">
    <w:nsid w:val="BF205925"/>
    <w:multiLevelType w:val="multilevel"/>
    <w:tmpl w:val="BF205925"/>
    <w:lvl w:ilvl="0" w:tentative="0">
      <w:start w:val="9"/>
      <w:numFmt w:val="decimal"/>
      <w:lvlText w:val="%1"/>
      <w:lvlJc w:val="left"/>
      <w:pPr>
        <w:ind w:left="902" w:hanging="364"/>
        <w:jc w:val="left"/>
      </w:pPr>
      <w:rPr>
        <w:rFonts w:hint="default"/>
        <w:lang w:val="zh-CN" w:eastAsia="zh-CN" w:bidi="zh-CN"/>
      </w:rPr>
    </w:lvl>
    <w:lvl w:ilvl="1" w:tentative="0">
      <w:start w:val="1"/>
      <w:numFmt w:val="decimal"/>
      <w:lvlText w:val="%1.%2"/>
      <w:lvlJc w:val="left"/>
      <w:pPr>
        <w:ind w:left="902" w:hanging="364"/>
        <w:jc w:val="left"/>
      </w:pPr>
      <w:rPr>
        <w:rFonts w:hint="default" w:ascii="宋体" w:hAnsi="宋体" w:eastAsia="宋体" w:cs="宋体"/>
        <w:b/>
        <w:bCs/>
        <w:spacing w:val="0"/>
        <w:w w:val="99"/>
        <w:sz w:val="22"/>
        <w:szCs w:val="22"/>
        <w:lang w:val="zh-CN" w:eastAsia="zh-CN" w:bidi="zh-CN"/>
      </w:rPr>
    </w:lvl>
    <w:lvl w:ilvl="2" w:tentative="0">
      <w:start w:val="0"/>
      <w:numFmt w:val="bullet"/>
      <w:lvlText w:val="•"/>
      <w:lvlJc w:val="left"/>
      <w:pPr>
        <w:ind w:left="2698" w:hanging="364"/>
      </w:pPr>
      <w:rPr>
        <w:rFonts w:hint="default"/>
        <w:lang w:val="zh-CN" w:eastAsia="zh-CN" w:bidi="zh-CN"/>
      </w:rPr>
    </w:lvl>
    <w:lvl w:ilvl="3" w:tentative="0">
      <w:start w:val="0"/>
      <w:numFmt w:val="bullet"/>
      <w:lvlText w:val="•"/>
      <w:lvlJc w:val="left"/>
      <w:pPr>
        <w:ind w:left="3597" w:hanging="364"/>
      </w:pPr>
      <w:rPr>
        <w:rFonts w:hint="default"/>
        <w:lang w:val="zh-CN" w:eastAsia="zh-CN" w:bidi="zh-CN"/>
      </w:rPr>
    </w:lvl>
    <w:lvl w:ilvl="4" w:tentative="0">
      <w:start w:val="0"/>
      <w:numFmt w:val="bullet"/>
      <w:lvlText w:val="•"/>
      <w:lvlJc w:val="left"/>
      <w:pPr>
        <w:ind w:left="4496" w:hanging="364"/>
      </w:pPr>
      <w:rPr>
        <w:rFonts w:hint="default"/>
        <w:lang w:val="zh-CN" w:eastAsia="zh-CN" w:bidi="zh-CN"/>
      </w:rPr>
    </w:lvl>
    <w:lvl w:ilvl="5" w:tentative="0">
      <w:start w:val="0"/>
      <w:numFmt w:val="bullet"/>
      <w:lvlText w:val="•"/>
      <w:lvlJc w:val="left"/>
      <w:pPr>
        <w:ind w:left="5395" w:hanging="364"/>
      </w:pPr>
      <w:rPr>
        <w:rFonts w:hint="default"/>
        <w:lang w:val="zh-CN" w:eastAsia="zh-CN" w:bidi="zh-CN"/>
      </w:rPr>
    </w:lvl>
    <w:lvl w:ilvl="6" w:tentative="0">
      <w:start w:val="0"/>
      <w:numFmt w:val="bullet"/>
      <w:lvlText w:val="•"/>
      <w:lvlJc w:val="left"/>
      <w:pPr>
        <w:ind w:left="6294" w:hanging="364"/>
      </w:pPr>
      <w:rPr>
        <w:rFonts w:hint="default"/>
        <w:lang w:val="zh-CN" w:eastAsia="zh-CN" w:bidi="zh-CN"/>
      </w:rPr>
    </w:lvl>
    <w:lvl w:ilvl="7" w:tentative="0">
      <w:start w:val="0"/>
      <w:numFmt w:val="bullet"/>
      <w:lvlText w:val="•"/>
      <w:lvlJc w:val="left"/>
      <w:pPr>
        <w:ind w:left="7193" w:hanging="364"/>
      </w:pPr>
      <w:rPr>
        <w:rFonts w:hint="default"/>
        <w:lang w:val="zh-CN" w:eastAsia="zh-CN" w:bidi="zh-CN"/>
      </w:rPr>
    </w:lvl>
    <w:lvl w:ilvl="8" w:tentative="0">
      <w:start w:val="0"/>
      <w:numFmt w:val="bullet"/>
      <w:lvlText w:val="•"/>
      <w:lvlJc w:val="left"/>
      <w:pPr>
        <w:ind w:left="8092" w:hanging="364"/>
      </w:pPr>
      <w:rPr>
        <w:rFonts w:hint="default"/>
        <w:lang w:val="zh-CN" w:eastAsia="zh-CN" w:bidi="zh-CN"/>
      </w:rPr>
    </w:lvl>
  </w:abstractNum>
  <w:abstractNum w:abstractNumId="2">
    <w:nsid w:val="CF092B84"/>
    <w:multiLevelType w:val="multilevel"/>
    <w:tmpl w:val="CF092B84"/>
    <w:lvl w:ilvl="0" w:tentative="0">
      <w:start w:val="3"/>
      <w:numFmt w:val="decimal"/>
      <w:lvlText w:val="%1"/>
      <w:lvlJc w:val="left"/>
      <w:pPr>
        <w:ind w:left="902" w:hanging="364"/>
        <w:jc w:val="left"/>
      </w:pPr>
      <w:rPr>
        <w:rFonts w:hint="default"/>
        <w:lang w:val="zh-CN" w:eastAsia="zh-CN" w:bidi="zh-CN"/>
      </w:rPr>
    </w:lvl>
    <w:lvl w:ilvl="1" w:tentative="0">
      <w:start w:val="1"/>
      <w:numFmt w:val="decimal"/>
      <w:lvlText w:val="%1.%2"/>
      <w:lvlJc w:val="left"/>
      <w:pPr>
        <w:ind w:left="902" w:hanging="364"/>
        <w:jc w:val="left"/>
      </w:pPr>
      <w:rPr>
        <w:rFonts w:hint="default" w:ascii="宋体" w:hAnsi="宋体" w:eastAsia="宋体" w:cs="宋体"/>
        <w:b/>
        <w:bCs/>
        <w:spacing w:val="0"/>
        <w:w w:val="99"/>
        <w:sz w:val="22"/>
        <w:szCs w:val="22"/>
        <w:lang w:val="zh-CN" w:eastAsia="zh-CN" w:bidi="zh-CN"/>
      </w:rPr>
    </w:lvl>
    <w:lvl w:ilvl="2" w:tentative="0">
      <w:start w:val="1"/>
      <w:numFmt w:val="decimal"/>
      <w:lvlText w:val="%1.%2.%3"/>
      <w:lvlJc w:val="left"/>
      <w:pPr>
        <w:ind w:left="1144" w:hanging="606"/>
        <w:jc w:val="left"/>
      </w:pPr>
      <w:rPr>
        <w:rFonts w:hint="default" w:ascii="宋体" w:hAnsi="宋体" w:eastAsia="宋体" w:cs="宋体"/>
        <w:b/>
        <w:bCs/>
        <w:w w:val="99"/>
        <w:sz w:val="22"/>
        <w:szCs w:val="22"/>
        <w:lang w:val="zh-CN" w:eastAsia="zh-CN" w:bidi="zh-CN"/>
      </w:rPr>
    </w:lvl>
    <w:lvl w:ilvl="3" w:tentative="0">
      <w:start w:val="0"/>
      <w:numFmt w:val="bullet"/>
      <w:lvlText w:val="•"/>
      <w:lvlJc w:val="left"/>
      <w:pPr>
        <w:ind w:left="3084" w:hanging="606"/>
      </w:pPr>
      <w:rPr>
        <w:rFonts w:hint="default"/>
        <w:lang w:val="zh-CN" w:eastAsia="zh-CN" w:bidi="zh-CN"/>
      </w:rPr>
    </w:lvl>
    <w:lvl w:ilvl="4" w:tentative="0">
      <w:start w:val="0"/>
      <w:numFmt w:val="bullet"/>
      <w:lvlText w:val="•"/>
      <w:lvlJc w:val="left"/>
      <w:pPr>
        <w:ind w:left="4057" w:hanging="606"/>
      </w:pPr>
      <w:rPr>
        <w:rFonts w:hint="default"/>
        <w:lang w:val="zh-CN" w:eastAsia="zh-CN" w:bidi="zh-CN"/>
      </w:rPr>
    </w:lvl>
    <w:lvl w:ilvl="5" w:tentative="0">
      <w:start w:val="0"/>
      <w:numFmt w:val="bullet"/>
      <w:lvlText w:val="•"/>
      <w:lvlJc w:val="left"/>
      <w:pPr>
        <w:ind w:left="5029" w:hanging="606"/>
      </w:pPr>
      <w:rPr>
        <w:rFonts w:hint="default"/>
        <w:lang w:val="zh-CN" w:eastAsia="zh-CN" w:bidi="zh-CN"/>
      </w:rPr>
    </w:lvl>
    <w:lvl w:ilvl="6" w:tentative="0">
      <w:start w:val="0"/>
      <w:numFmt w:val="bullet"/>
      <w:lvlText w:val="•"/>
      <w:lvlJc w:val="left"/>
      <w:pPr>
        <w:ind w:left="6001" w:hanging="606"/>
      </w:pPr>
      <w:rPr>
        <w:rFonts w:hint="default"/>
        <w:lang w:val="zh-CN" w:eastAsia="zh-CN" w:bidi="zh-CN"/>
      </w:rPr>
    </w:lvl>
    <w:lvl w:ilvl="7" w:tentative="0">
      <w:start w:val="0"/>
      <w:numFmt w:val="bullet"/>
      <w:lvlText w:val="•"/>
      <w:lvlJc w:val="left"/>
      <w:pPr>
        <w:ind w:left="6974" w:hanging="606"/>
      </w:pPr>
      <w:rPr>
        <w:rFonts w:hint="default"/>
        <w:lang w:val="zh-CN" w:eastAsia="zh-CN" w:bidi="zh-CN"/>
      </w:rPr>
    </w:lvl>
    <w:lvl w:ilvl="8" w:tentative="0">
      <w:start w:val="0"/>
      <w:numFmt w:val="bullet"/>
      <w:lvlText w:val="•"/>
      <w:lvlJc w:val="left"/>
      <w:pPr>
        <w:ind w:left="7946" w:hanging="606"/>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782"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902" w:hanging="364"/>
        <w:jc w:val="left"/>
      </w:pPr>
      <w:rPr>
        <w:rFonts w:hint="default" w:ascii="宋体" w:hAnsi="宋体" w:eastAsia="宋体" w:cs="宋体"/>
        <w:b/>
        <w:bCs/>
        <w:spacing w:val="0"/>
        <w:w w:val="99"/>
        <w:sz w:val="22"/>
        <w:szCs w:val="22"/>
        <w:lang w:val="zh-CN" w:eastAsia="zh-CN" w:bidi="zh-CN"/>
      </w:rPr>
    </w:lvl>
    <w:lvl w:ilvl="2" w:tentative="0">
      <w:start w:val="1"/>
      <w:numFmt w:val="decimal"/>
      <w:lvlText w:val="%1.%2.%3"/>
      <w:lvlJc w:val="left"/>
      <w:pPr>
        <w:ind w:left="1144" w:hanging="606"/>
        <w:jc w:val="left"/>
      </w:pPr>
      <w:rPr>
        <w:rFonts w:hint="default" w:ascii="宋体" w:hAnsi="宋体" w:eastAsia="宋体" w:cs="宋体"/>
        <w:b/>
        <w:bCs/>
        <w:w w:val="99"/>
        <w:sz w:val="22"/>
        <w:szCs w:val="22"/>
        <w:lang w:val="zh-CN" w:eastAsia="zh-CN" w:bidi="zh-CN"/>
      </w:rPr>
    </w:lvl>
    <w:lvl w:ilvl="3" w:tentative="0">
      <w:start w:val="0"/>
      <w:numFmt w:val="bullet"/>
      <w:lvlText w:val="•"/>
      <w:lvlJc w:val="left"/>
      <w:pPr>
        <w:ind w:left="2233" w:hanging="606"/>
      </w:pPr>
      <w:rPr>
        <w:rFonts w:hint="default"/>
        <w:lang w:val="zh-CN" w:eastAsia="zh-CN" w:bidi="zh-CN"/>
      </w:rPr>
    </w:lvl>
    <w:lvl w:ilvl="4" w:tentative="0">
      <w:start w:val="0"/>
      <w:numFmt w:val="bullet"/>
      <w:lvlText w:val="•"/>
      <w:lvlJc w:val="left"/>
      <w:pPr>
        <w:ind w:left="3327" w:hanging="606"/>
      </w:pPr>
      <w:rPr>
        <w:rFonts w:hint="default"/>
        <w:lang w:val="zh-CN" w:eastAsia="zh-CN" w:bidi="zh-CN"/>
      </w:rPr>
    </w:lvl>
    <w:lvl w:ilvl="5" w:tentative="0">
      <w:start w:val="0"/>
      <w:numFmt w:val="bullet"/>
      <w:lvlText w:val="•"/>
      <w:lvlJc w:val="left"/>
      <w:pPr>
        <w:ind w:left="4421" w:hanging="606"/>
      </w:pPr>
      <w:rPr>
        <w:rFonts w:hint="default"/>
        <w:lang w:val="zh-CN" w:eastAsia="zh-CN" w:bidi="zh-CN"/>
      </w:rPr>
    </w:lvl>
    <w:lvl w:ilvl="6" w:tentative="0">
      <w:start w:val="0"/>
      <w:numFmt w:val="bullet"/>
      <w:lvlText w:val="•"/>
      <w:lvlJc w:val="left"/>
      <w:pPr>
        <w:ind w:left="5515" w:hanging="606"/>
      </w:pPr>
      <w:rPr>
        <w:rFonts w:hint="default"/>
        <w:lang w:val="zh-CN" w:eastAsia="zh-CN" w:bidi="zh-CN"/>
      </w:rPr>
    </w:lvl>
    <w:lvl w:ilvl="7" w:tentative="0">
      <w:start w:val="0"/>
      <w:numFmt w:val="bullet"/>
      <w:lvlText w:val="•"/>
      <w:lvlJc w:val="left"/>
      <w:pPr>
        <w:ind w:left="6609" w:hanging="606"/>
      </w:pPr>
      <w:rPr>
        <w:rFonts w:hint="default"/>
        <w:lang w:val="zh-CN" w:eastAsia="zh-CN" w:bidi="zh-CN"/>
      </w:rPr>
    </w:lvl>
    <w:lvl w:ilvl="8" w:tentative="0">
      <w:start w:val="0"/>
      <w:numFmt w:val="bullet"/>
      <w:lvlText w:val="•"/>
      <w:lvlJc w:val="left"/>
      <w:pPr>
        <w:ind w:left="7703" w:hanging="606"/>
      </w:pPr>
      <w:rPr>
        <w:rFonts w:hint="default"/>
        <w:lang w:val="zh-CN" w:eastAsia="zh-CN" w:bidi="zh-CN"/>
      </w:rPr>
    </w:lvl>
  </w:abstractNum>
  <w:abstractNum w:abstractNumId="4">
    <w:nsid w:val="59ADCABA"/>
    <w:multiLevelType w:val="multilevel"/>
    <w:tmpl w:val="59ADCABA"/>
    <w:lvl w:ilvl="0" w:tentative="0">
      <w:start w:val="6"/>
      <w:numFmt w:val="decimal"/>
      <w:lvlText w:val="%1."/>
      <w:lvlJc w:val="left"/>
      <w:pPr>
        <w:ind w:left="842"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21" w:hanging="423"/>
        <w:jc w:val="left"/>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2005" w:hanging="423"/>
      </w:pPr>
      <w:rPr>
        <w:rFonts w:hint="default"/>
        <w:lang w:val="zh-CN" w:eastAsia="zh-CN" w:bidi="zh-CN"/>
      </w:rPr>
    </w:lvl>
    <w:lvl w:ilvl="3" w:tentative="0">
      <w:start w:val="0"/>
      <w:numFmt w:val="bullet"/>
      <w:lvlText w:val="•"/>
      <w:lvlJc w:val="left"/>
      <w:pPr>
        <w:ind w:left="2991" w:hanging="423"/>
      </w:pPr>
      <w:rPr>
        <w:rFonts w:hint="default"/>
        <w:lang w:val="zh-CN" w:eastAsia="zh-CN" w:bidi="zh-CN"/>
      </w:rPr>
    </w:lvl>
    <w:lvl w:ilvl="4" w:tentative="0">
      <w:start w:val="0"/>
      <w:numFmt w:val="bullet"/>
      <w:lvlText w:val="•"/>
      <w:lvlJc w:val="left"/>
      <w:pPr>
        <w:ind w:left="3977" w:hanging="423"/>
      </w:pPr>
      <w:rPr>
        <w:rFonts w:hint="default"/>
        <w:lang w:val="zh-CN" w:eastAsia="zh-CN" w:bidi="zh-CN"/>
      </w:rPr>
    </w:lvl>
    <w:lvl w:ilvl="5" w:tentative="0">
      <w:start w:val="0"/>
      <w:numFmt w:val="bullet"/>
      <w:lvlText w:val="•"/>
      <w:lvlJc w:val="left"/>
      <w:pPr>
        <w:ind w:left="4962" w:hanging="423"/>
      </w:pPr>
      <w:rPr>
        <w:rFonts w:hint="default"/>
        <w:lang w:val="zh-CN" w:eastAsia="zh-CN" w:bidi="zh-CN"/>
      </w:rPr>
    </w:lvl>
    <w:lvl w:ilvl="6" w:tentative="0">
      <w:start w:val="0"/>
      <w:numFmt w:val="bullet"/>
      <w:lvlText w:val="•"/>
      <w:lvlJc w:val="left"/>
      <w:pPr>
        <w:ind w:left="5948" w:hanging="423"/>
      </w:pPr>
      <w:rPr>
        <w:rFonts w:hint="default"/>
        <w:lang w:val="zh-CN" w:eastAsia="zh-CN" w:bidi="zh-CN"/>
      </w:rPr>
    </w:lvl>
    <w:lvl w:ilvl="7" w:tentative="0">
      <w:start w:val="0"/>
      <w:numFmt w:val="bullet"/>
      <w:lvlText w:val="•"/>
      <w:lvlJc w:val="left"/>
      <w:pPr>
        <w:ind w:left="6934" w:hanging="423"/>
      </w:pPr>
      <w:rPr>
        <w:rFonts w:hint="default"/>
        <w:lang w:val="zh-CN" w:eastAsia="zh-CN" w:bidi="zh-CN"/>
      </w:rPr>
    </w:lvl>
    <w:lvl w:ilvl="8" w:tentative="0">
      <w:start w:val="0"/>
      <w:numFmt w:val="bullet"/>
      <w:lvlText w:val="•"/>
      <w:lvlJc w:val="left"/>
      <w:pPr>
        <w:ind w:left="7919" w:hanging="423"/>
      </w:pPr>
      <w:rPr>
        <w:rFonts w:hint="default"/>
        <w:lang w:val="zh-CN" w:eastAsia="zh-CN" w:bidi="zh-C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97EBC"/>
    <w:rsid w:val="06983E08"/>
    <w:rsid w:val="1C49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5"/>
    <w:basedOn w:val="1"/>
    <w:next w:val="1"/>
    <w:qFormat/>
    <w:uiPriority w:val="1"/>
    <w:pPr>
      <w:ind w:left="119"/>
      <w:outlineLvl w:val="5"/>
    </w:pPr>
    <w:rPr>
      <w:rFonts w:ascii="Times New Roman" w:hAnsi="Times New Roman" w:eastAsia="Times New Roman" w:cs="Times New Roman"/>
      <w:b/>
      <w:bCs/>
      <w:sz w:val="24"/>
      <w:szCs w:val="24"/>
      <w:lang w:val="zh-CN" w:eastAsia="zh-CN" w:bidi="zh-C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4">
    <w:name w:val="Body Text"/>
    <w:basedOn w:val="1"/>
    <w:next w:val="1"/>
    <w:qFormat/>
    <w:uiPriority w:val="0"/>
    <w:pPr>
      <w:spacing w:after="120"/>
    </w:pPr>
    <w:rPr>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39"/>
    <w:pPr>
      <w:spacing w:before="120" w:after="120"/>
      <w:jc w:val="left"/>
    </w:pPr>
    <w:rPr>
      <w:b/>
      <w:bCs/>
      <w:caps/>
      <w:sz w:val="20"/>
      <w:szCs w:val="20"/>
    </w:rPr>
  </w:style>
  <w:style w:type="character" w:styleId="9">
    <w:name w:val="Hyperlink"/>
    <w:qFormat/>
    <w:uiPriority w:val="99"/>
    <w:rPr>
      <w:color w:val="0000FF"/>
      <w:u w:val="single"/>
    </w:rPr>
  </w:style>
  <w:style w:type="paragraph" w:customStyle="1" w:styleId="10">
    <w:name w:val="WPSOffice手动目录 1"/>
    <w:qFormat/>
    <w:uiPriority w:val="0"/>
    <w:rPr>
      <w:rFonts w:ascii="Times New Roman" w:hAnsi="Times New Roman" w:eastAsia="宋体" w:cs="Times New Roman"/>
      <w:lang w:val="en-US" w:eastAsia="zh-CN" w:bidi="ar-SA"/>
    </w:rPr>
  </w:style>
  <w:style w:type="paragraph" w:styleId="11">
    <w:name w:val="List Paragraph"/>
    <w:basedOn w:val="1"/>
    <w:qFormat/>
    <w:uiPriority w:val="1"/>
    <w:pPr>
      <w:ind w:left="279" w:hanging="602"/>
    </w:pPr>
    <w:rPr>
      <w:rFonts w:ascii="宋体" w:hAnsi="宋体" w:eastAsia="宋体" w:cs="宋体"/>
      <w:lang w:val="zh-CN" w:eastAsia="zh-CN" w:bidi="zh-CN"/>
    </w:rPr>
  </w:style>
  <w:style w:type="paragraph" w:customStyle="1" w:styleId="1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2022-04-28T05:41:00Z</dcterms:created>
  <dc:creator>窗台1410343643</dc:creator>
  <cp:lastModifiedBy>窗台1410343643</cp:lastModifiedBy>
  <dcterms:modified xsi:type="dcterms:W3CDTF">2022-04-28T05:44:06Z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7AD59D433D234B5CBCD37DB22A2A8204</vt:lpwstr>
  </property>
</Properties>
</file>