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hRule="atLeast"/>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sz w:val="21"/>
              </w:rPr>
              <w:t>项目技术负责人</w:t>
            </w:r>
          </w:p>
        </w:tc>
        <w:tc>
          <w:tcPr>
            <w:tcW w:w="17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（养护、新建、改扩建满足一项即可），持安全员C类证书</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jc w:val="center"/>
              <w:rPr>
                <w:rFonts w:hint="eastAsia" w:eastAsia="宋体"/>
                <w:w w:val="99"/>
                <w:sz w:val="21"/>
                <w:lang w:val="en-US" w:eastAsia="zh-CN"/>
              </w:rPr>
            </w:pPr>
            <w:r>
              <w:rPr>
                <w:rFonts w:hint="eastAsia"/>
                <w:w w:val="99"/>
                <w:sz w:val="21"/>
                <w:lang w:val="en-US" w:eastAsia="zh-CN"/>
              </w:rPr>
              <w:t>1</w:t>
            </w:r>
          </w:p>
        </w:tc>
        <w:tc>
          <w:tcPr>
            <w:tcW w:w="1072" w:type="dxa"/>
          </w:tcPr>
          <w:p>
            <w:pPr>
              <w:pStyle w:val="6"/>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sectPr>
          <w:headerReference r:id="rId3" w:type="default"/>
          <w:footerReference r:id="rId4"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r>
        <w:rPr>
          <w:sz w:val="18"/>
        </w:rPr>
        <w:t>3、自有设备需提供购买发票或公证机关出具的公证书。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D1245"/>
    <w:rsid w:val="70DD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2022-04-28T05:49:00Z</dcterms:created>
  <dc:creator>窗台1410343643</dc:creator>
  <cp:lastModifiedBy>窗台1410343643</cp:lastModifiedBy>
  <dcterms:modified xsi:type="dcterms:W3CDTF">2022-04-28T05:50:04Z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E911A014DF3144D6AF196291F5CA3F32</vt:lpwstr>
  </property>
</Properties>
</file>