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0" w:firstLine="562" w:firstLineChars="200"/>
        <w:rPr>
          <w:rFonts w:hint="eastAsia" w:ascii="宋体" w:hAnsi="宋体" w:eastAsia="宋体" w:cs="宋体"/>
          <w:b/>
          <w:bCs/>
          <w:color w:val="auto"/>
          <w:sz w:val="32"/>
          <w:szCs w:val="32"/>
          <w:highlight w:val="none"/>
          <w:lang w:val="en-US" w:eastAsia="zh-CN"/>
        </w:rPr>
      </w:pPr>
      <w:bookmarkStart w:id="0" w:name="_GoBack"/>
      <w:bookmarkEnd w:id="0"/>
      <w:r>
        <w:rPr>
          <w:rFonts w:hint="eastAsia" w:ascii="宋体" w:hAnsi="宋体" w:eastAsia="宋体" w:cs="宋体"/>
          <w:b/>
          <w:color w:val="auto"/>
          <w:sz w:val="28"/>
          <w:szCs w:val="28"/>
          <w:highlight w:val="none"/>
        </w:rPr>
        <w:t>附表一</w:t>
      </w:r>
    </w:p>
    <w:p>
      <w:pPr>
        <w:pStyle w:val="7"/>
        <w:ind w:firstLine="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达渝高速公路高竹互通立交及连接线工程2022-CDYH-1分段劳务合作项目</w:t>
      </w:r>
    </w:p>
    <w:p>
      <w:pPr>
        <w:pStyle w:val="7"/>
        <w:ind w:firstLine="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lang w:val="en-US" w:eastAsia="zh-CN"/>
        </w:rPr>
        <w:t>工程段划分、工期规模、工期统计表</w:t>
      </w:r>
    </w:p>
    <w:p>
      <w:pPr>
        <w:rPr>
          <w:rFonts w:hint="eastAsia" w:ascii="宋体" w:hAnsi="宋体" w:eastAsia="宋体" w:cs="宋体"/>
          <w:color w:val="auto"/>
          <w:lang w:val="en-US" w:eastAsia="zh-CN"/>
        </w:rPr>
      </w:pPr>
    </w:p>
    <w:tbl>
      <w:tblPr>
        <w:tblStyle w:val="5"/>
        <w:tblpPr w:leftFromText="180" w:rightFromText="180" w:vertAnchor="text" w:horzAnchor="page" w:tblpX="1863" w:tblpY="89"/>
        <w:tblOverlap w:val="never"/>
        <w:tblW w:w="13120" w:type="dxa"/>
        <w:tblInd w:w="0" w:type="dxa"/>
        <w:tblLayout w:type="fixed"/>
        <w:tblCellMar>
          <w:top w:w="0" w:type="dxa"/>
          <w:left w:w="0" w:type="dxa"/>
          <w:bottom w:w="0" w:type="dxa"/>
          <w:right w:w="0" w:type="dxa"/>
        </w:tblCellMar>
      </w:tblPr>
      <w:tblGrid>
        <w:gridCol w:w="800"/>
        <w:gridCol w:w="1490"/>
        <w:gridCol w:w="3650"/>
        <w:gridCol w:w="2666"/>
        <w:gridCol w:w="3074"/>
        <w:gridCol w:w="1440"/>
      </w:tblGrid>
      <w:tr>
        <w:tblPrEx>
          <w:tblCellMar>
            <w:top w:w="0" w:type="dxa"/>
            <w:left w:w="0" w:type="dxa"/>
            <w:bottom w:w="0" w:type="dxa"/>
            <w:right w:w="0" w:type="dxa"/>
          </w:tblCellMar>
        </w:tblPrEx>
        <w:trPr>
          <w:trHeight w:val="480" w:hRule="atLeast"/>
          <w:tblHeader/>
        </w:trPr>
        <w:tc>
          <w:tcPr>
            <w:tcW w:w="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color w:val="auto"/>
                <w:kern w:val="0"/>
                <w:sz w:val="18"/>
                <w:szCs w:val="18"/>
                <w:highlight w:val="none"/>
                <w:lang w:bidi="ar"/>
              </w:rPr>
              <w:t>序号</w:t>
            </w:r>
          </w:p>
        </w:tc>
        <w:tc>
          <w:tcPr>
            <w:tcW w:w="14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分段名称</w:t>
            </w:r>
          </w:p>
        </w:tc>
        <w:tc>
          <w:tcPr>
            <w:tcW w:w="3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2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工程范围</w:t>
            </w:r>
          </w:p>
        </w:tc>
        <w:tc>
          <w:tcPr>
            <w:tcW w:w="30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tc>
      </w:tr>
      <w:tr>
        <w:tblPrEx>
          <w:tblCellMar>
            <w:top w:w="0" w:type="dxa"/>
            <w:left w:w="0" w:type="dxa"/>
            <w:bottom w:w="0" w:type="dxa"/>
            <w:right w:w="0" w:type="dxa"/>
          </w:tblCellMar>
        </w:tblPrEx>
        <w:trPr>
          <w:trHeight w:val="1702" w:hRule="atLeast"/>
          <w:tblHeader/>
        </w:trPr>
        <w:tc>
          <w:tcPr>
            <w:tcW w:w="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4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20"/>
                <w:szCs w:val="20"/>
                <w:highlight w:val="none"/>
                <w:lang w:val="en-US" w:eastAsia="zh-CN" w:bidi="ar"/>
              </w:rPr>
              <w:t>2022-CDYH</w:t>
            </w:r>
            <w:r>
              <w:rPr>
                <w:rFonts w:hint="eastAsia" w:ascii="宋体" w:hAnsi="宋体" w:cs="宋体"/>
                <w:color w:val="auto"/>
                <w:kern w:val="0"/>
                <w:sz w:val="20"/>
                <w:szCs w:val="20"/>
                <w:highlight w:val="none"/>
                <w:lang w:val="en-US" w:eastAsia="zh-CN" w:bidi="ar"/>
              </w:rPr>
              <w:t>GC</w:t>
            </w:r>
            <w:r>
              <w:rPr>
                <w:rFonts w:hint="eastAsia" w:ascii="宋体" w:hAnsi="宋体" w:eastAsia="宋体" w:cs="宋体"/>
                <w:color w:val="auto"/>
                <w:kern w:val="0"/>
                <w:sz w:val="20"/>
                <w:szCs w:val="20"/>
                <w:highlight w:val="none"/>
                <w:lang w:val="en-US" w:eastAsia="zh-CN" w:bidi="ar"/>
              </w:rPr>
              <w:t>-1</w:t>
            </w:r>
          </w:p>
        </w:tc>
        <w:tc>
          <w:tcPr>
            <w:tcW w:w="3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主线渐变车道及加减速车道里</w:t>
            </w:r>
          </w:p>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程桩号为 K150+735～K151+510,全长 775m，匝道工程分为 A、B、C、D、E 共计 5 条匝道，匝道共计 2808.785m，新建 L1 连接线长 275.653m，S208 连接线 L2 线全长 584.923m。</w:t>
            </w:r>
          </w:p>
        </w:tc>
        <w:tc>
          <w:tcPr>
            <w:tcW w:w="2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达渝高速高竹互通新增互通式立交段和 S208 连接线 L2 线段</w:t>
            </w:r>
          </w:p>
        </w:tc>
        <w:tc>
          <w:tcPr>
            <w:tcW w:w="30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val="en-US" w:eastAsia="zh-CN" w:bidi="ar"/>
              </w:rPr>
              <w:t>200章路基工程、300章路面工程、400章桥涵工程、700章绿化工程劳务合作</w:t>
            </w:r>
          </w:p>
        </w:tc>
        <w:tc>
          <w:tcPr>
            <w:tcW w:w="1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24个月(最终以招标人要求为准)</w:t>
            </w:r>
          </w:p>
        </w:tc>
      </w:tr>
    </w:tbl>
    <w:p>
      <w:pPr>
        <w:rPr>
          <w:rFonts w:hint="eastAsia" w:ascii="宋体" w:hAnsi="宋体" w:eastAsia="宋体" w:cs="宋体"/>
          <w:b/>
          <w:color w:val="auto"/>
          <w:sz w:val="28"/>
          <w:szCs w:val="28"/>
          <w:highlight w:val="none"/>
        </w:rPr>
      </w:pPr>
    </w:p>
    <w:p>
      <w:pPr>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1"/>
          <w:szCs w:val="21"/>
          <w:highlight w:val="none"/>
        </w:rPr>
        <w:t>备注：实际开工时间以招标人（项目部）通知为准。</w:t>
      </w: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ascii="宋体" w:hAnsi="宋体" w:eastAsia="宋体" w:cs="宋体"/>
        </w:rPr>
      </w:pPr>
    </w:p>
    <w:p>
      <w:pPr>
        <w:pStyle w:val="7"/>
        <w:ind w:firstLine="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达渝高速公路高竹互通立交及连接线工程2022-CDYHGC-1分段劳务合作项目</w:t>
      </w:r>
    </w:p>
    <w:p>
      <w:pPr>
        <w:pStyle w:val="7"/>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rPr>
      </w:pPr>
    </w:p>
    <w:tbl>
      <w:tblPr>
        <w:tblStyle w:val="5"/>
        <w:tblpPr w:leftFromText="180" w:rightFromText="180" w:vertAnchor="text" w:horzAnchor="page" w:tblpX="1893" w:tblpY="89"/>
        <w:tblOverlap w:val="never"/>
        <w:tblW w:w="13090" w:type="dxa"/>
        <w:jc w:val="center"/>
        <w:tblLayout w:type="fixed"/>
        <w:tblCellMar>
          <w:top w:w="0" w:type="dxa"/>
          <w:left w:w="0" w:type="dxa"/>
          <w:bottom w:w="0" w:type="dxa"/>
          <w:right w:w="0" w:type="dxa"/>
        </w:tblCellMar>
      </w:tblPr>
      <w:tblGrid>
        <w:gridCol w:w="830"/>
        <w:gridCol w:w="1910"/>
        <w:gridCol w:w="4340"/>
        <w:gridCol w:w="4410"/>
        <w:gridCol w:w="1600"/>
      </w:tblGrid>
      <w:tr>
        <w:tblPrEx>
          <w:tblCellMar>
            <w:top w:w="0" w:type="dxa"/>
            <w:left w:w="0" w:type="dxa"/>
            <w:bottom w:w="0" w:type="dxa"/>
            <w:right w:w="0" w:type="dxa"/>
          </w:tblCellMar>
        </w:tblPrEx>
        <w:trPr>
          <w:trHeight w:val="480" w:hRule="atLeast"/>
          <w:tblHeader/>
          <w:jc w:val="center"/>
        </w:trPr>
        <w:tc>
          <w:tcPr>
            <w:tcW w:w="83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91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43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441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16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83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1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43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441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702" w:hRule="atLeast"/>
          <w:jc w:val="center"/>
        </w:trPr>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2022-CDYH</w:t>
            </w:r>
            <w:r>
              <w:rPr>
                <w:rFonts w:hint="eastAsia" w:ascii="宋体" w:hAnsi="宋体" w:cs="宋体"/>
                <w:color w:val="auto"/>
                <w:kern w:val="0"/>
                <w:sz w:val="20"/>
                <w:szCs w:val="20"/>
                <w:highlight w:val="none"/>
                <w:lang w:val="en-US" w:eastAsia="zh-CN" w:bidi="ar"/>
              </w:rPr>
              <w:t>GC</w:t>
            </w:r>
            <w:r>
              <w:rPr>
                <w:rFonts w:hint="eastAsia" w:ascii="宋体" w:hAnsi="宋体" w:eastAsia="宋体" w:cs="宋体"/>
                <w:color w:val="auto"/>
                <w:kern w:val="0"/>
                <w:sz w:val="20"/>
                <w:szCs w:val="20"/>
                <w:highlight w:val="none"/>
                <w:lang w:val="en-US" w:eastAsia="zh-CN" w:bidi="ar"/>
              </w:rPr>
              <w:t>-1</w:t>
            </w:r>
          </w:p>
        </w:tc>
        <w:tc>
          <w:tcPr>
            <w:tcW w:w="43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具有政府主管部门颁布的公路工程施工总承包叁级及以上或劳务施工劳务部分等级资质。</w:t>
            </w:r>
          </w:p>
        </w:tc>
        <w:tc>
          <w:tcPr>
            <w:tcW w:w="4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要求5年内（2017年1月1日至今，以提供的合同协议书中工期到期时间或相关完工证明材料为准）具有合同金额在3000万元及以上的类似高速公路工程施工业绩不少于1个。</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pStyle w:val="7"/>
        <w:ind w:left="0" w:leftChars="0" w:firstLine="0" w:firstLineChars="0"/>
        <w:rPr>
          <w:rFonts w:hint="eastAsia" w:ascii="宋体" w:hAnsi="宋体" w:eastAsia="宋体" w:cs="宋体"/>
          <w:b/>
          <w:color w:val="auto"/>
          <w:sz w:val="32"/>
          <w:szCs w:val="32"/>
          <w:highlight w:val="none"/>
        </w:rPr>
      </w:pPr>
    </w:p>
    <w:p>
      <w:pPr>
        <w:tabs>
          <w:tab w:val="left" w:pos="1347"/>
        </w:tabs>
        <w:bidi w:val="0"/>
        <w:jc w:val="left"/>
        <w:rPr>
          <w:rFonts w:hint="eastAsia" w:ascii="宋体" w:hAnsi="宋体" w:eastAsia="宋体" w:cs="宋体"/>
          <w:lang w:eastAsia="zh-CN"/>
        </w:rPr>
        <w:sectPr>
          <w:footerReference r:id="rId3" w:type="default"/>
          <w:pgSz w:w="16838" w:h="11911" w:orient="landscape"/>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r>
        <w:rPr>
          <w:rFonts w:hint="eastAsia" w:ascii="宋体" w:hAnsi="宋体" w:eastAsia="宋体" w:cs="宋体"/>
          <w:lang w:eastAsia="zh-CN"/>
        </w:rPr>
        <w:tab/>
      </w:r>
    </w:p>
    <w:p>
      <w:pPr>
        <w:pStyle w:val="7"/>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5"/>
        <w:tblpPr w:leftFromText="180" w:rightFromText="180" w:vertAnchor="text" w:horzAnchor="page" w:tblpX="1254" w:tblpY="313"/>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3693"/>
        <w:gridCol w:w="1653"/>
        <w:gridCol w:w="148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bCs/>
                <w:color w:val="auto"/>
                <w:sz w:val="28"/>
                <w:szCs w:val="28"/>
                <w:highlight w:val="none"/>
                <w:lang w:val="en-US" w:eastAsia="zh-CN"/>
              </w:rPr>
              <w:t>达渝高速公路高竹互通立交及连接线工程2022-CDYH</w:t>
            </w:r>
            <w:r>
              <w:rPr>
                <w:rFonts w:hint="eastAsia" w:ascii="宋体" w:hAnsi="宋体" w:cs="宋体"/>
                <w:b/>
                <w:bCs/>
                <w:color w:val="auto"/>
                <w:sz w:val="28"/>
                <w:szCs w:val="28"/>
                <w:highlight w:val="none"/>
                <w:lang w:val="en-US" w:eastAsia="zh-CN"/>
              </w:rPr>
              <w:t>GC</w:t>
            </w:r>
            <w:r>
              <w:rPr>
                <w:rFonts w:hint="eastAsia" w:ascii="宋体" w:hAnsi="宋体" w:eastAsia="宋体" w:cs="宋体"/>
                <w:b/>
                <w:bCs/>
                <w:color w:val="auto"/>
                <w:sz w:val="28"/>
                <w:szCs w:val="28"/>
                <w:highlight w:val="none"/>
                <w:lang w:val="en-US" w:eastAsia="zh-CN"/>
              </w:rPr>
              <w:t>-1分段</w:t>
            </w:r>
            <w:r>
              <w:rPr>
                <w:rFonts w:hint="eastAsia" w:ascii="宋体" w:hAnsi="宋体" w:eastAsia="宋体" w:cs="宋体"/>
                <w:b/>
                <w:color w:val="000000"/>
                <w:kern w:val="0"/>
                <w:sz w:val="28"/>
                <w:szCs w:val="28"/>
                <w:lang w:val="en-US" w:eastAsia="zh-CN" w:bidi="ar"/>
              </w:rPr>
              <w:t>劳务合作项目</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color w:val="000000"/>
                <w:kern w:val="0"/>
                <w:sz w:val="28"/>
                <w:szCs w:val="28"/>
                <w:lang w:val="en-US" w:eastAsia="zh-CN" w:bidi="ar"/>
              </w:rPr>
            </w:pPr>
            <w:r>
              <w:rPr>
                <w:rFonts w:hint="eastAsia" w:ascii="宋体" w:hAnsi="宋体" w:eastAsia="宋体" w:cs="宋体"/>
                <w:b/>
                <w:color w:val="000000"/>
                <w:kern w:val="0"/>
                <w:sz w:val="28"/>
                <w:szCs w:val="28"/>
                <w:lang w:bidi="ar"/>
              </w:rPr>
              <w:t>拟投入人员</w:t>
            </w:r>
            <w:r>
              <w:rPr>
                <w:rFonts w:hint="eastAsia" w:ascii="宋体" w:hAnsi="宋体" w:eastAsia="宋体" w:cs="宋体"/>
                <w:b/>
                <w:color w:val="000000"/>
                <w:kern w:val="0"/>
                <w:sz w:val="28"/>
                <w:szCs w:val="28"/>
                <w:lang w:val="en-US" w:eastAsia="zh-CN" w:bidi="ar"/>
              </w:rPr>
              <w:t>配置表</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color w:val="000000"/>
                <w:kern w:val="0"/>
                <w:sz w:val="28"/>
                <w:szCs w:val="28"/>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w:t>
            </w:r>
          </w:p>
        </w:tc>
        <w:tc>
          <w:tcPr>
            <w:tcW w:w="36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65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4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6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牵头负责项目施工全面工作</w:t>
            </w:r>
          </w:p>
        </w:tc>
        <w:tc>
          <w:tcPr>
            <w:tcW w:w="165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ind w:firstLine="420" w:firstLineChars="200"/>
              <w:jc w:val="left"/>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6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协助项目负责人负责项目进度、技术、质量等工作</w:t>
            </w:r>
          </w:p>
        </w:tc>
        <w:tc>
          <w:tcPr>
            <w:tcW w:w="165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ind w:firstLine="420" w:firstLineChars="200"/>
              <w:jc w:val="left"/>
              <w:rPr>
                <w:rFonts w:hint="eastAsia" w:ascii="宋体" w:hAnsi="宋体" w:eastAsia="宋体" w:cs="宋体"/>
                <w:i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安全负责人</w:t>
            </w:r>
          </w:p>
        </w:tc>
        <w:tc>
          <w:tcPr>
            <w:tcW w:w="36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负责现场安全、安全交底、安全检查等工作</w:t>
            </w:r>
          </w:p>
        </w:tc>
        <w:tc>
          <w:tcPr>
            <w:tcW w:w="165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ind w:firstLine="420" w:firstLineChars="200"/>
              <w:jc w:val="left"/>
              <w:rPr>
                <w:rFonts w:hint="eastAsia" w:ascii="宋体" w:hAnsi="宋体" w:eastAsia="宋体" w:cs="宋体"/>
                <w:i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现场负责人</w:t>
            </w:r>
          </w:p>
        </w:tc>
        <w:tc>
          <w:tcPr>
            <w:tcW w:w="36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kern w:val="0"/>
                <w:szCs w:val="21"/>
                <w:highlight w:val="none"/>
                <w:lang w:bidi="ar"/>
              </w:rPr>
              <w:t>负责现场测量、放线工作</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现场管理等工作</w:t>
            </w:r>
          </w:p>
        </w:tc>
        <w:tc>
          <w:tcPr>
            <w:tcW w:w="165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内业负责人</w:t>
            </w:r>
          </w:p>
        </w:tc>
        <w:tc>
          <w:tcPr>
            <w:tcW w:w="36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负责内业资料完善</w:t>
            </w:r>
          </w:p>
        </w:tc>
        <w:tc>
          <w:tcPr>
            <w:tcW w:w="165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2、如因投标人的原因(除不可抗拒因素外)更换上述主要人员，须报请招标人批准，更换人员的资质不能低于招标文件要求。自行更换主要负责人的，对投标人按每人次课以20万元人民币违约金。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rPr>
          <w:rFonts w:hint="eastAsia" w:ascii="宋体" w:hAnsi="宋体" w:eastAsia="宋体" w:cs="宋体"/>
          <w:lang w:eastAsia="zh-CN"/>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rPr>
      </w:pPr>
      <w:r>
        <w:rPr>
          <w:rFonts w:hint="eastAsia" w:ascii="宋体" w:hAnsi="宋体" w:eastAsia="宋体" w:cs="宋体"/>
          <w:b/>
          <w:sz w:val="28"/>
          <w:szCs w:val="28"/>
        </w:rPr>
        <w:t>附表四</w:t>
      </w:r>
    </w:p>
    <w:tbl>
      <w:tblPr>
        <w:tblStyle w:val="5"/>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达渝高速公路高竹互通立交及连接线工程2022-CDYHGC-1分段劳务合作项目</w:t>
            </w: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拟</w:t>
            </w:r>
            <w:r>
              <w:rPr>
                <w:rFonts w:hint="eastAsia" w:ascii="宋体" w:hAnsi="宋体" w:eastAsia="宋体" w:cs="宋体"/>
                <w:b/>
                <w:bCs/>
                <w:sz w:val="28"/>
                <w:szCs w:val="28"/>
                <w:lang w:val="en-US" w:eastAsia="zh-CN"/>
              </w:rPr>
              <w:t>投入设备配置表</w:t>
            </w: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(最低要求）</w:t>
            </w:r>
          </w:p>
          <w:tbl>
            <w:tblPr>
              <w:tblStyle w:val="5"/>
              <w:tblpPr w:leftFromText="180" w:rightFromText="180" w:vertAnchor="text" w:horzAnchor="page" w:tblpX="148" w:tblpY="370"/>
              <w:tblOverlap w:val="never"/>
              <w:tblW w:w="9409" w:type="dxa"/>
              <w:jc w:val="center"/>
              <w:tblLayout w:type="fixed"/>
              <w:tblCellMar>
                <w:top w:w="0" w:type="dxa"/>
                <w:left w:w="108" w:type="dxa"/>
                <w:bottom w:w="0" w:type="dxa"/>
                <w:right w:w="108" w:type="dxa"/>
              </w:tblCellMar>
            </w:tblPr>
            <w:tblGrid>
              <w:gridCol w:w="860"/>
              <w:gridCol w:w="1650"/>
              <w:gridCol w:w="1380"/>
              <w:gridCol w:w="690"/>
              <w:gridCol w:w="810"/>
              <w:gridCol w:w="1125"/>
              <w:gridCol w:w="1275"/>
              <w:gridCol w:w="855"/>
              <w:gridCol w:w="764"/>
            </w:tblGrid>
            <w:tr>
              <w:tblPrEx>
                <w:tblCellMar>
                  <w:top w:w="0" w:type="dxa"/>
                  <w:left w:w="108" w:type="dxa"/>
                  <w:bottom w:w="0" w:type="dxa"/>
                  <w:right w:w="108" w:type="dxa"/>
                </w:tblCellMar>
              </w:tblPrEx>
              <w:trPr>
                <w:trHeight w:val="1038" w:hRule="atLeast"/>
                <w:jc w:val="center"/>
              </w:trPr>
              <w:tc>
                <w:tcPr>
                  <w:tcW w:w="860" w:type="dxa"/>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650" w:type="dxa"/>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机械设备</w:t>
                  </w:r>
                </w:p>
                <w:p>
                  <w:pPr>
                    <w:pStyle w:val="9"/>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380" w:type="dxa"/>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rPr>
                    <w:t>规格、型号</w:t>
                  </w:r>
                </w:p>
              </w:tc>
              <w:tc>
                <w:tcPr>
                  <w:tcW w:w="690" w:type="dxa"/>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单位</w:t>
                  </w:r>
                </w:p>
              </w:tc>
              <w:tc>
                <w:tcPr>
                  <w:tcW w:w="810" w:type="dxa"/>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出厂日期</w:t>
                  </w:r>
                </w:p>
              </w:tc>
              <w:tc>
                <w:tcPr>
                  <w:tcW w:w="11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260" w:lineRule="exact"/>
                    <w:jc w:val="center"/>
                    <w:rPr>
                      <w:rFonts w:hint="eastAsia" w:ascii="宋体" w:hAnsi="宋体" w:eastAsia="宋体" w:cs="宋体"/>
                      <w:bCs/>
                      <w:color w:val="auto"/>
                      <w:szCs w:val="21"/>
                      <w:lang w:val="en-US" w:bidi="ar-SA"/>
                    </w:rPr>
                  </w:pPr>
                  <w:r>
                    <w:rPr>
                      <w:rFonts w:hint="eastAsia" w:ascii="宋体" w:hAnsi="宋体" w:eastAsia="宋体" w:cs="宋体"/>
                      <w:color w:val="auto"/>
                      <w:szCs w:val="21"/>
                      <w:lang w:val="en-US" w:bidi="ar-SA"/>
                    </w:rPr>
                    <w:t>基本要求</w:t>
                  </w:r>
                </w:p>
              </w:tc>
              <w:tc>
                <w:tcPr>
                  <w:tcW w:w="1275" w:type="dxa"/>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hint="eastAsia" w:ascii="宋体" w:hAnsi="宋体" w:eastAsia="宋体" w:cs="宋体"/>
                      <w:color w:val="auto"/>
                      <w:szCs w:val="21"/>
                    </w:rPr>
                  </w:pPr>
                  <w:r>
                    <w:rPr>
                      <w:rFonts w:hint="eastAsia" w:ascii="宋体" w:hAnsi="宋体" w:eastAsia="宋体" w:cs="宋体"/>
                      <w:color w:val="auto"/>
                    </w:rPr>
                    <w:t>每增加一台自有设备加分值</w:t>
                  </w:r>
                </w:p>
              </w:tc>
              <w:tc>
                <w:tcPr>
                  <w:tcW w:w="855" w:type="dxa"/>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lang w:val="en-US" w:bidi="ar-SA"/>
                    </w:rPr>
                  </w:pPr>
                  <w:r>
                    <w:rPr>
                      <w:rFonts w:hint="eastAsia" w:ascii="宋体" w:hAnsi="宋体" w:eastAsia="宋体" w:cs="宋体"/>
                      <w:color w:val="auto"/>
                      <w:szCs w:val="21"/>
                      <w:lang w:val="en-US" w:bidi="ar-SA"/>
                    </w:rPr>
                    <w:t>加分上限</w:t>
                  </w:r>
                </w:p>
              </w:tc>
              <w:tc>
                <w:tcPr>
                  <w:tcW w:w="764" w:type="dxa"/>
                  <w:tcBorders>
                    <w:top w:val="single" w:color="000000" w:sz="4" w:space="0"/>
                    <w:left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color w:val="auto"/>
                      <w:szCs w:val="21"/>
                      <w:lang w:val="en-US" w:bidi="ar-SA"/>
                    </w:rPr>
                  </w:pPr>
                  <w:r>
                    <w:rPr>
                      <w:rFonts w:hint="eastAsia" w:ascii="宋体" w:hAnsi="宋体" w:eastAsia="宋体" w:cs="宋体"/>
                      <w:color w:val="auto"/>
                      <w:szCs w:val="21"/>
                      <w:lang w:val="en-US" w:bidi="ar-SA"/>
                    </w:rPr>
                    <w:t>备注</w:t>
                  </w: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液压钩机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810"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2017年1月及以后</w:t>
                  </w: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液压挖掘机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1.5m³以上</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81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装载机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50型</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81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90"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压路机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15t以上</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81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4"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自卸汽车</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15m³以上</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台</w:t>
                  </w:r>
                </w:p>
              </w:tc>
              <w:tc>
                <w:tcPr>
                  <w:tcW w:w="810" w:type="dxa"/>
                  <w:vMerge w:val="continue"/>
                  <w:tcBorders>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15</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推土机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9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vMerge w:val="continue"/>
                  <w:tcBorders>
                    <w:left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1125" w:type="dxa"/>
                  <w:tcBorders>
                    <w:top w:val="single" w:color="auto" w:sz="4" w:space="0"/>
                    <w:left w:val="single" w:color="auto"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54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吊车</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20t以上</w:t>
                  </w:r>
                </w:p>
              </w:tc>
              <w:tc>
                <w:tcPr>
                  <w:tcW w:w="69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冲击钻</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发电机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100kw以上</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81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0.5</w:t>
                  </w: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0.5</w:t>
                  </w: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10</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洒水车</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vMerge w:val="continue"/>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抽水泵</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平地机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13</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空压机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14m³/min</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14</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钢筋弯曲机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10" w:type="dxa"/>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r>
              <w:tblPrEx>
                <w:tblCellMar>
                  <w:top w:w="0" w:type="dxa"/>
                  <w:left w:w="108" w:type="dxa"/>
                  <w:bottom w:w="0" w:type="dxa"/>
                  <w:right w:w="108" w:type="dxa"/>
                </w:tblCellMar>
              </w:tblPrEx>
              <w:trPr>
                <w:trHeight w:val="482"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2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15</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钢筋调直切断机</w:t>
                  </w:r>
                </w:p>
              </w:tc>
              <w:tc>
                <w:tcPr>
                  <w:tcW w:w="13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eastAsia" w:ascii="宋体" w:hAnsi="宋体" w:eastAsia="宋体" w:cs="宋体"/>
                      <w:color w:val="auto"/>
                      <w:kern w:val="2"/>
                      <w:sz w:val="21"/>
                      <w:szCs w:val="21"/>
                      <w:highlight w:val="none"/>
                      <w:lang w:val="en-US" w:eastAsia="zh-CN" w:bidi="ar-SA"/>
                    </w:rPr>
                  </w:pPr>
                </w:p>
              </w:tc>
              <w:tc>
                <w:tcPr>
                  <w:tcW w:w="810" w:type="dxa"/>
                  <w:tcBorders>
                    <w:left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1"/>
                      <w:szCs w:val="21"/>
                      <w:highlight w:val="none"/>
                      <w:lang w:val="en-US" w:eastAsia="zh-CN" w:bidi="ar-SA"/>
                    </w:rPr>
                  </w:pPr>
                </w:p>
              </w:tc>
              <w:tc>
                <w:tcPr>
                  <w:tcW w:w="1125"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pStyle w:val="10"/>
                    <w:spacing w:before="163" w:after="163"/>
                    <w:jc w:val="center"/>
                    <w:rPr>
                      <w:rFonts w:hint="eastAsia" w:ascii="宋体" w:hAnsi="宋体" w:eastAsia="宋体" w:cs="宋体"/>
                      <w:bCs/>
                      <w:color w:val="auto"/>
                      <w:kern w:val="2"/>
                      <w:sz w:val="21"/>
                      <w:szCs w:val="21"/>
                      <w:highlight w:val="none"/>
                      <w:lang w:val="en-US" w:eastAsia="zh-CN" w:bidi="ar-SA"/>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pPr>
      <w:r>
        <w:rPr>
          <w:rFonts w:hint="eastAsia" w:ascii="宋体" w:hAnsi="宋体" w:eastAsia="宋体" w:cs="宋体"/>
          <w:b w:val="0"/>
          <w:bCs w:val="0"/>
          <w:sz w:val="18"/>
          <w:szCs w:val="18"/>
          <w:lang w:val="en-US" w:eastAsia="zh-CN"/>
        </w:rPr>
        <w:t>3、设备需具备施工能力满足实际施工需要，自有设备以购买方发票或公证机关出具的公证书为准。</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rCxsIBAACO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uUxHGLEz9//3b+8ev88yt5&#10;nfXpA9SY9hgwMQ1v/YBbM/sBnZn2oKLNXyREMI5Qp4u6ckhE5Eer5WpVYUhgbL4gPnt6HiKkB+kt&#10;yUZDI46vqMqP7yGNqXNKrub8vTamjNC4vxyImT0s9z72mK007IaJ0M63J+TT4+Qb6nDRKTHvHAqL&#10;/aXZiLOxm4xcA8KbQ8LCpZ+MOkJNxXBMhdG0UnkP/ryXrKf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jqwsbCAQAAjgMAAA4AAAAAAAAAAQAgAAAAHgEAAGRycy9lMm9Eb2MueG1sUEsF&#10;BgAAAAAGAAYAWQEAAFIFA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C0D40"/>
    <w:rsid w:val="293C0D40"/>
    <w:rsid w:val="4FD902C8"/>
    <w:rsid w:val="7E284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spacing w:before="120" w:after="60"/>
      <w:jc w:val="center"/>
    </w:pPr>
    <w:rPr>
      <w:rFonts w:ascii="Arial" w:hAnsi="Arial"/>
      <w:b/>
      <w:sz w:val="44"/>
    </w:rPr>
  </w:style>
  <w:style w:type="paragraph" w:customStyle="1" w:styleId="7">
    <w:name w:val="正文2"/>
    <w:basedOn w:val="1"/>
    <w:next w:val="1"/>
    <w:qFormat/>
    <w:uiPriority w:val="0"/>
    <w:pPr>
      <w:ind w:firstLine="570"/>
    </w:pPr>
    <w:rPr>
      <w:rFonts w:ascii="仿宋" w:hAnsi="仿宋" w:eastAsia="仿宋"/>
      <w:kern w:val="0"/>
      <w:sz w:val="20"/>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Table Paragraph"/>
    <w:basedOn w:val="1"/>
    <w:qFormat/>
    <w:uiPriority w:val="99"/>
  </w:style>
  <w:style w:type="paragraph" w:customStyle="1" w:styleId="10">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3739</Words>
  <Characters>4335</Characters>
  <Lines>0</Lines>
  <Paragraphs>0</Paragraphs>
  <TotalTime>6</TotalTime>
  <ScaleCrop>false</ScaleCrop>
  <LinksUpToDate>false</LinksUpToDate>
  <CharactersWithSpaces>4428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2022-03-30T01:12:00Z</dcterms:created>
  <dc:creator>Lee</dc:creator>
  <cp:lastModifiedBy>Sensual</cp:lastModifiedBy>
  <dcterms:modified xsi:type="dcterms:W3CDTF">2022-04-01T07:38:06Z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2021EA7271CD46CD905F3558757F07F6</vt:lpwstr>
  </property>
</Properties>
</file>