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0"/>
        <w:outlineLvl w:val="2"/>
        <w:rPr>
          <w:rFonts w:hint="eastAsia" w:ascii="宋体" w:hAnsi="宋体" w:eastAsia="宋体" w:cs="宋体"/>
          <w:b/>
          <w:bCs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8"/>
          <w:szCs w:val="28"/>
        </w:rPr>
        <w:t>附表一</w:t>
      </w:r>
    </w:p>
    <w:p>
      <w:pPr>
        <w:tabs>
          <w:tab w:val="left" w:pos="3480"/>
          <w:tab w:val="left" w:pos="4520"/>
          <w:tab w:val="left" w:pos="5560"/>
        </w:tabs>
        <w:autoSpaceDE w:val="0"/>
        <w:autoSpaceDN w:val="0"/>
        <w:adjustRightInd w:val="0"/>
        <w:spacing w:line="360" w:lineRule="auto"/>
        <w:jc w:val="center"/>
        <w:rPr>
          <w:rFonts w:hint="eastAsia"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南充至成都高速公路扩容工程LJ4-1标绿化工程劳务合作</w:t>
      </w:r>
    </w:p>
    <w:p>
      <w:pPr>
        <w:tabs>
          <w:tab w:val="left" w:pos="3480"/>
          <w:tab w:val="left" w:pos="4520"/>
          <w:tab w:val="left" w:pos="5560"/>
        </w:tabs>
        <w:autoSpaceDE w:val="0"/>
        <w:autoSpaceDN w:val="0"/>
        <w:adjustRightInd w:val="0"/>
        <w:spacing w:line="360" w:lineRule="auto"/>
        <w:jc w:val="center"/>
        <w:rPr>
          <w:rFonts w:hint="eastAsia"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工程段划分、工程规模、工期统计表</w:t>
      </w:r>
    </w:p>
    <w:tbl>
      <w:tblPr>
        <w:tblStyle w:val="8"/>
        <w:tblW w:w="10630" w:type="dxa"/>
        <w:tblInd w:w="180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7"/>
        <w:gridCol w:w="1093"/>
        <w:gridCol w:w="2471"/>
        <w:gridCol w:w="3769"/>
        <w:gridCol w:w="1470"/>
        <w:gridCol w:w="14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bidi="ar"/>
              </w:rPr>
              <w:t>分段名称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bidi="ar"/>
              </w:rPr>
              <w:t>桩号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bidi="ar"/>
              </w:rPr>
              <w:t>工程内容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bidi="ar"/>
              </w:rPr>
              <w:t>工期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atLeast"/>
        </w:trPr>
        <w:tc>
          <w:tcPr>
            <w:tcW w:w="4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109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highlight w:val="none"/>
                <w:lang w:val="en-US" w:eastAsia="zh-CN"/>
              </w:rPr>
              <w:t>LJ4-1-11绿化工程</w:t>
            </w:r>
          </w:p>
        </w:tc>
        <w:tc>
          <w:tcPr>
            <w:tcW w:w="247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K1761+114.721-K1795+080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bidi="ar"/>
              </w:rPr>
              <w:t>段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范围内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绿化工程</w:t>
            </w:r>
          </w:p>
        </w:tc>
        <w:tc>
          <w:tcPr>
            <w:tcW w:w="376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bidi="ar"/>
              </w:rPr>
              <w:t>边坡生态防护、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隧道洞口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bidi="ar"/>
              </w:rPr>
              <w:t>中央分隔带绿化、路测行车道树（部分路段）、互通绿化、隧道绿化</w:t>
            </w:r>
          </w:p>
        </w:tc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工期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24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个月（具体进场时间及各分项工程开工时间最终以招标人要求为准)。</w:t>
            </w:r>
          </w:p>
        </w:tc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本次招标工程数量为暂定，最终以实际实施数量和招标人确认为准。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atLeast"/>
        </w:trPr>
        <w:tc>
          <w:tcPr>
            <w:tcW w:w="4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0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24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37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atLeast"/>
        </w:trPr>
        <w:tc>
          <w:tcPr>
            <w:tcW w:w="4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0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24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37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atLeast"/>
        </w:trPr>
        <w:tc>
          <w:tcPr>
            <w:tcW w:w="41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09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247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376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</w:tbl>
    <w:p>
      <w:pPr>
        <w:pStyle w:val="3"/>
        <w:rPr>
          <w:rFonts w:hint="eastAsia"/>
        </w:rPr>
        <w:sectPr>
          <w:footerReference r:id="rId3" w:type="default"/>
          <w:pgSz w:w="16838" w:h="11911" w:orient="landscape"/>
          <w:pgMar w:top="1100" w:right="1599" w:bottom="1179" w:left="1298" w:header="0" w:footer="567" w:gutter="0"/>
          <w:cols w:space="720" w:num="1"/>
          <w:docGrid w:linePitch="1" w:charSpace="0"/>
        </w:sectPr>
      </w:pPr>
    </w:p>
    <w:p>
      <w:pPr>
        <w:pStyle w:val="2"/>
        <w:ind w:firstLine="0"/>
        <w:jc w:val="left"/>
        <w:outlineLvl w:val="2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附表二</w:t>
      </w:r>
    </w:p>
    <w:p>
      <w:pPr>
        <w:pStyle w:val="2"/>
        <w:ind w:firstLine="0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</w:p>
    <w:p>
      <w:pPr>
        <w:pStyle w:val="2"/>
        <w:ind w:firstLine="0"/>
        <w:jc w:val="center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南充至成都高速公路扩容工程LJ4-1标绿化工程劳务合作</w:t>
      </w:r>
    </w:p>
    <w:p>
      <w:pPr>
        <w:pStyle w:val="2"/>
        <w:ind w:firstLine="0"/>
        <w:jc w:val="center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施工企业资质等级要求、业绩基本要求</w:t>
      </w:r>
    </w:p>
    <w:p>
      <w:pPr>
        <w:pStyle w:val="2"/>
        <w:ind w:firstLine="0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</w:p>
    <w:p>
      <w:pPr>
        <w:pStyle w:val="2"/>
        <w:ind w:firstLine="0"/>
        <w:rPr>
          <w:rFonts w:hint="eastAsia"/>
        </w:rPr>
      </w:pPr>
    </w:p>
    <w:tbl>
      <w:tblPr>
        <w:tblStyle w:val="8"/>
        <w:tblpPr w:leftFromText="180" w:rightFromText="180" w:vertAnchor="text" w:horzAnchor="margin" w:tblpY="144"/>
        <w:tblOverlap w:val="never"/>
        <w:tblW w:w="516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"/>
        <w:gridCol w:w="1079"/>
        <w:gridCol w:w="2350"/>
        <w:gridCol w:w="3558"/>
        <w:gridCol w:w="13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265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序号</w:t>
            </w:r>
          </w:p>
        </w:tc>
        <w:tc>
          <w:tcPr>
            <w:tcW w:w="613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分段名称</w:t>
            </w:r>
          </w:p>
        </w:tc>
        <w:tc>
          <w:tcPr>
            <w:tcW w:w="1335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资质等级要求</w:t>
            </w:r>
          </w:p>
        </w:tc>
        <w:tc>
          <w:tcPr>
            <w:tcW w:w="2021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业绩要求</w:t>
            </w:r>
          </w:p>
        </w:tc>
        <w:tc>
          <w:tcPr>
            <w:tcW w:w="767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6" w:hRule="atLeast"/>
        </w:trPr>
        <w:tc>
          <w:tcPr>
            <w:tcW w:w="265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613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highlight w:val="none"/>
                <w:lang w:val="en-US" w:eastAsia="zh-CN"/>
              </w:rPr>
              <w:t>LJ4-1-11  绿化工程</w:t>
            </w:r>
          </w:p>
        </w:tc>
        <w:tc>
          <w:tcPr>
            <w:tcW w:w="1335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具有施工劳务资质或公路工程施工总承包三级及以上等级资质</w:t>
            </w:r>
          </w:p>
        </w:tc>
        <w:tc>
          <w:tcPr>
            <w:tcW w:w="2021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近五年内（自201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7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年1月1日起至今</w:t>
            </w:r>
            <w:r>
              <w:rPr>
                <w:rFonts w:hint="eastAsia" w:ascii="宋体" w:hAnsi="宋体" w:cs="宋体"/>
                <w:kern w:val="0"/>
                <w:szCs w:val="21"/>
                <w:lang w:eastAsia="zh-CN" w:bidi="ar"/>
              </w:rPr>
              <w:t>，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以合同签订时间为准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）具有1个高速公路绿化工程施工业绩。</w:t>
            </w:r>
          </w:p>
        </w:tc>
        <w:tc>
          <w:tcPr>
            <w:tcW w:w="767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以提供的合同协议书为准</w:t>
            </w:r>
          </w:p>
        </w:tc>
      </w:tr>
    </w:tbl>
    <w:p>
      <w:pPr>
        <w:pStyle w:val="2"/>
        <w:rPr>
          <w:rFonts w:hint="eastAsia" w:ascii="宋体" w:hAnsi="宋体" w:eastAsia="宋体" w:cs="宋体"/>
          <w:b/>
          <w:bCs/>
          <w:sz w:val="28"/>
          <w:szCs w:val="28"/>
        </w:rPr>
      </w:pPr>
    </w:p>
    <w:p>
      <w:pPr>
        <w:rPr>
          <w:rFonts w:hint="eastAsia" w:ascii="宋体" w:hAnsi="宋体" w:cs="宋体"/>
          <w:b/>
          <w:bCs/>
          <w:sz w:val="28"/>
          <w:szCs w:val="28"/>
        </w:rPr>
      </w:pPr>
    </w:p>
    <w:p>
      <w:pPr>
        <w:pStyle w:val="2"/>
        <w:rPr>
          <w:rFonts w:hint="eastAsia" w:ascii="宋体" w:hAnsi="宋体" w:eastAsia="宋体" w:cs="宋体"/>
          <w:b/>
          <w:bCs/>
          <w:sz w:val="28"/>
          <w:szCs w:val="28"/>
        </w:rPr>
      </w:pPr>
    </w:p>
    <w:p>
      <w:pPr>
        <w:rPr>
          <w:rFonts w:hint="eastAsia"/>
        </w:rPr>
      </w:pPr>
    </w:p>
    <w:p>
      <w:pPr>
        <w:pStyle w:val="2"/>
        <w:ind w:firstLine="0"/>
        <w:rPr>
          <w:rFonts w:hint="eastAsia" w:ascii="宋体" w:hAnsi="宋体" w:eastAsia="宋体" w:cs="宋体"/>
          <w:b/>
          <w:bCs/>
          <w:sz w:val="28"/>
          <w:szCs w:val="28"/>
        </w:rPr>
      </w:pPr>
    </w:p>
    <w:p>
      <w:pPr>
        <w:rPr>
          <w:rFonts w:hint="eastAsia" w:ascii="宋体" w:hAnsi="宋体" w:cs="宋体"/>
          <w:b/>
          <w:bCs/>
          <w:sz w:val="28"/>
          <w:szCs w:val="28"/>
        </w:rPr>
      </w:pPr>
    </w:p>
    <w:p>
      <w:pPr>
        <w:rPr>
          <w:rFonts w:hint="eastAsia" w:ascii="宋体" w:hAnsi="宋体" w:cs="宋体"/>
          <w:b/>
          <w:bCs/>
          <w:sz w:val="28"/>
          <w:szCs w:val="28"/>
        </w:rPr>
      </w:pPr>
    </w:p>
    <w:p>
      <w:pPr>
        <w:rPr>
          <w:rFonts w:hint="eastAsia" w:ascii="宋体" w:hAnsi="宋体" w:cs="宋体"/>
          <w:b/>
          <w:bCs/>
          <w:sz w:val="28"/>
          <w:szCs w:val="28"/>
        </w:rPr>
      </w:pPr>
    </w:p>
    <w:p>
      <w:pPr>
        <w:rPr>
          <w:rFonts w:hint="eastAsia" w:ascii="宋体" w:hAnsi="宋体" w:cs="宋体"/>
          <w:b/>
          <w:bCs/>
          <w:sz w:val="28"/>
          <w:szCs w:val="28"/>
        </w:rPr>
      </w:pPr>
    </w:p>
    <w:p>
      <w:pPr>
        <w:rPr>
          <w:rFonts w:hint="eastAsia" w:ascii="宋体" w:hAnsi="宋体" w:cs="宋体"/>
          <w:b/>
          <w:bCs/>
          <w:sz w:val="28"/>
          <w:szCs w:val="28"/>
        </w:rPr>
      </w:pPr>
    </w:p>
    <w:p>
      <w:pPr>
        <w:rPr>
          <w:rFonts w:ascii="宋体" w:hAnsi="宋体" w:cs="宋体"/>
          <w:b/>
          <w:bCs/>
          <w:sz w:val="28"/>
          <w:szCs w:val="28"/>
        </w:rPr>
      </w:pPr>
    </w:p>
    <w:p>
      <w:pPr>
        <w:pStyle w:val="2"/>
      </w:pPr>
    </w:p>
    <w:p/>
    <w:p>
      <w:pPr>
        <w:pStyle w:val="2"/>
        <w:ind w:left="0" w:leftChars="0" w:firstLine="0" w:firstLineChars="0"/>
      </w:pPr>
    </w:p>
    <w:p>
      <w:pPr>
        <w:rPr>
          <w:rFonts w:hint="eastAsia"/>
        </w:rPr>
      </w:pPr>
    </w:p>
    <w:p>
      <w:pPr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附表三</w:t>
      </w:r>
    </w:p>
    <w:p>
      <w:pPr>
        <w:pStyle w:val="2"/>
        <w:ind w:firstLine="0"/>
        <w:jc w:val="center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南充至成都高速公路扩容工程LJ4-1标绿化工程劳务合作</w:t>
      </w:r>
    </w:p>
    <w:p>
      <w:pPr>
        <w:pStyle w:val="2"/>
        <w:ind w:firstLine="0"/>
        <w:jc w:val="center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拟投入人员配置表(最低要求）</w:t>
      </w:r>
    </w:p>
    <w:tbl>
      <w:tblPr>
        <w:tblStyle w:val="8"/>
        <w:tblW w:w="8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3"/>
        <w:gridCol w:w="2166"/>
        <w:gridCol w:w="1842"/>
        <w:gridCol w:w="1418"/>
        <w:gridCol w:w="25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7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1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人员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10" w:firstLineChars="100"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工作任务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人数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10" w:firstLineChars="100"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2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项目负责人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生产管理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</w:t>
            </w:r>
          </w:p>
        </w:tc>
        <w:tc>
          <w:tcPr>
            <w:tcW w:w="2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项目技术负责人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技术管理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</w:t>
            </w:r>
          </w:p>
        </w:tc>
        <w:tc>
          <w:tcPr>
            <w:tcW w:w="2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安全负责人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安全管理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具有主管部门颁发的安全C类证书。（建安C证或交安C证）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4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</w:t>
            </w:r>
          </w:p>
        </w:tc>
        <w:tc>
          <w:tcPr>
            <w:tcW w:w="2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技术员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zCs w:val="21"/>
              </w:rPr>
              <w:t>负责现场测量、放线、施工管理等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</w:t>
            </w:r>
          </w:p>
        </w:tc>
        <w:tc>
          <w:tcPr>
            <w:tcW w:w="2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内业人员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zCs w:val="21"/>
              </w:rPr>
              <w:t>负责内业资料、结算等相关工作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</w:tr>
    </w:tbl>
    <w:p>
      <w:pPr>
        <w:rPr>
          <w:rFonts w:hint="eastAsia"/>
        </w:rPr>
      </w:pPr>
    </w:p>
    <w:p>
      <w:pPr>
        <w:widowControl/>
        <w:jc w:val="lef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注：</w:t>
      </w:r>
    </w:p>
    <w:p>
      <w:pPr>
        <w:widowControl/>
        <w:ind w:firstLine="420" w:firstLineChars="200"/>
        <w:jc w:val="lef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1、主要人员的最低要求，投标人应根据施工需要或招标人的要求增加相关人员。</w:t>
      </w:r>
    </w:p>
    <w:p>
      <w:pPr>
        <w:widowControl/>
        <w:ind w:firstLine="420" w:firstLineChars="200"/>
        <w:jc w:val="lef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2、如因投标人的原因(除不可抗拒因素外)更换上述主要人员（项目负责人、现场技术员、安全员），须报请招标人批准，更换人员的资质不能低于招标文件要求，自行更换主要负责人的，对投标人按每人次处以50万元人民币违约金。</w:t>
      </w:r>
    </w:p>
    <w:p>
      <w:pPr>
        <w:widowControl/>
        <w:ind w:firstLine="420" w:firstLineChars="200"/>
        <w:jc w:val="lef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3、相关管理人员及技术人员必须在岗，有特殊情况离岗必须向项目部请假并得到批准。</w:t>
      </w:r>
    </w:p>
    <w:p>
      <w:pPr>
        <w:pStyle w:val="2"/>
        <w:ind w:firstLine="0"/>
        <w:jc w:val="left"/>
        <w:outlineLvl w:val="2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br w:type="page"/>
      </w:r>
      <w:r>
        <w:rPr>
          <w:rFonts w:hint="eastAsia" w:ascii="宋体" w:hAnsi="宋体" w:eastAsia="宋体" w:cs="宋体"/>
          <w:sz w:val="28"/>
          <w:szCs w:val="28"/>
        </w:rPr>
        <w:t>附表四</w:t>
      </w:r>
    </w:p>
    <w:p>
      <w:pPr>
        <w:pStyle w:val="2"/>
        <w:ind w:firstLine="0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</w:p>
    <w:p>
      <w:pPr>
        <w:pStyle w:val="2"/>
        <w:ind w:firstLine="0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南充至成都高速公路扩容工程LJ4-1标绿化工程劳务合作</w:t>
      </w:r>
    </w:p>
    <w:p>
      <w:pPr>
        <w:pStyle w:val="2"/>
        <w:ind w:firstLine="0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拟投入设备明细表(最低要求）</w:t>
      </w:r>
    </w:p>
    <w:p>
      <w:pPr>
        <w:rPr>
          <w:rFonts w:hint="eastAsia"/>
        </w:rPr>
      </w:pPr>
    </w:p>
    <w:tbl>
      <w:tblPr>
        <w:tblStyle w:val="8"/>
        <w:tblpPr w:leftFromText="180" w:rightFromText="180" w:vertAnchor="text" w:horzAnchor="margin" w:tblpY="54"/>
        <w:tblOverlap w:val="never"/>
        <w:tblW w:w="516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1266"/>
        <w:gridCol w:w="979"/>
        <w:gridCol w:w="754"/>
        <w:gridCol w:w="837"/>
        <w:gridCol w:w="719"/>
        <w:gridCol w:w="981"/>
        <w:gridCol w:w="673"/>
        <w:gridCol w:w="863"/>
        <w:gridCol w:w="10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362" w:type="pct"/>
            <w:vMerge w:val="restart"/>
            <w:tcBorders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序号</w:t>
            </w:r>
          </w:p>
        </w:tc>
        <w:tc>
          <w:tcPr>
            <w:tcW w:w="719" w:type="pct"/>
            <w:vMerge w:val="restart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机械设备名称</w:t>
            </w:r>
          </w:p>
        </w:tc>
        <w:tc>
          <w:tcPr>
            <w:tcW w:w="556" w:type="pct"/>
            <w:vMerge w:val="restart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规格型号</w:t>
            </w:r>
          </w:p>
        </w:tc>
        <w:tc>
          <w:tcPr>
            <w:tcW w:w="428" w:type="pct"/>
            <w:vMerge w:val="restart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单位</w:t>
            </w:r>
          </w:p>
        </w:tc>
        <w:tc>
          <w:tcPr>
            <w:tcW w:w="883" w:type="pct"/>
            <w:gridSpan w:val="2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基本要求</w:t>
            </w:r>
          </w:p>
        </w:tc>
        <w:tc>
          <w:tcPr>
            <w:tcW w:w="557" w:type="pct"/>
            <w:vMerge w:val="restart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每增加一台自有设备加分值</w:t>
            </w:r>
          </w:p>
        </w:tc>
        <w:tc>
          <w:tcPr>
            <w:tcW w:w="382" w:type="pct"/>
            <w:vMerge w:val="restart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加分上限</w:t>
            </w:r>
          </w:p>
        </w:tc>
        <w:tc>
          <w:tcPr>
            <w:tcW w:w="490" w:type="pct"/>
            <w:vMerge w:val="restart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出厂日期</w:t>
            </w:r>
          </w:p>
        </w:tc>
        <w:tc>
          <w:tcPr>
            <w:tcW w:w="620" w:type="pct"/>
            <w:vMerge w:val="restart"/>
            <w:tcBorders>
              <w:left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备注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362" w:type="pct"/>
            <w:vMerge w:val="continue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719" w:type="pct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556" w:type="pct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428" w:type="pct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4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总数量</w:t>
            </w:r>
          </w:p>
        </w:tc>
        <w:tc>
          <w:tcPr>
            <w:tcW w:w="40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自有设备</w:t>
            </w:r>
          </w:p>
        </w:tc>
        <w:tc>
          <w:tcPr>
            <w:tcW w:w="557" w:type="pct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382" w:type="pct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490" w:type="pct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620" w:type="pct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362" w:type="pct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71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液压喷播机</w:t>
            </w:r>
          </w:p>
        </w:tc>
        <w:tc>
          <w:tcPr>
            <w:tcW w:w="55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2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台</w:t>
            </w:r>
          </w:p>
        </w:tc>
        <w:tc>
          <w:tcPr>
            <w:tcW w:w="4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 xml:space="preserve">4 </w:t>
            </w:r>
          </w:p>
        </w:tc>
        <w:tc>
          <w:tcPr>
            <w:tcW w:w="40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5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0.5</w:t>
            </w:r>
          </w:p>
        </w:tc>
        <w:tc>
          <w:tcPr>
            <w:tcW w:w="3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</w:t>
            </w:r>
          </w:p>
        </w:tc>
        <w:tc>
          <w:tcPr>
            <w:tcW w:w="490" w:type="pct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201</w:t>
            </w:r>
            <w:r>
              <w:rPr>
                <w:rFonts w:ascii="宋体" w:hAnsi="宋体" w:cs="宋体"/>
                <w:szCs w:val="21"/>
              </w:rPr>
              <w:t>7</w:t>
            </w:r>
            <w:r>
              <w:rPr>
                <w:rFonts w:hint="eastAsia" w:ascii="宋体" w:hAnsi="宋体" w:cs="宋体"/>
                <w:szCs w:val="21"/>
              </w:rPr>
              <w:t>年1月后</w:t>
            </w:r>
          </w:p>
        </w:tc>
        <w:tc>
          <w:tcPr>
            <w:tcW w:w="620" w:type="pct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bCs/>
                <w:sz w:val="24"/>
                <w:szCs w:val="24"/>
              </w:rPr>
              <w:t>自有设备</w:t>
            </w:r>
            <w:r>
              <w:rPr>
                <w:rFonts w:hint="eastAsia" w:ascii="宋体" w:hAnsi="宋体" w:cs="宋体"/>
                <w:sz w:val="24"/>
                <w:szCs w:val="24"/>
              </w:rPr>
              <w:t>需提供购买发票或公证机关公证书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362" w:type="pct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</w:t>
            </w:r>
          </w:p>
        </w:tc>
        <w:tc>
          <w:tcPr>
            <w:tcW w:w="71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粉碎机</w:t>
            </w:r>
          </w:p>
        </w:tc>
        <w:tc>
          <w:tcPr>
            <w:tcW w:w="55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YC-80</w:t>
            </w:r>
          </w:p>
        </w:tc>
        <w:tc>
          <w:tcPr>
            <w:tcW w:w="42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台</w:t>
            </w:r>
          </w:p>
        </w:tc>
        <w:tc>
          <w:tcPr>
            <w:tcW w:w="4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</w:p>
        </w:tc>
        <w:tc>
          <w:tcPr>
            <w:tcW w:w="40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5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90" w:type="pct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</w:rPr>
            </w:pPr>
          </w:p>
        </w:tc>
        <w:tc>
          <w:tcPr>
            <w:tcW w:w="620" w:type="pct"/>
            <w:vMerge w:val="continue"/>
            <w:tcBorders>
              <w:top w:val="single" w:color="000000" w:sz="2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362" w:type="pct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</w:t>
            </w:r>
          </w:p>
        </w:tc>
        <w:tc>
          <w:tcPr>
            <w:tcW w:w="71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洒水车</w:t>
            </w:r>
          </w:p>
        </w:tc>
        <w:tc>
          <w:tcPr>
            <w:tcW w:w="55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10m³</w:t>
            </w:r>
          </w:p>
        </w:tc>
        <w:tc>
          <w:tcPr>
            <w:tcW w:w="42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辆</w:t>
            </w:r>
          </w:p>
        </w:tc>
        <w:tc>
          <w:tcPr>
            <w:tcW w:w="4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</w:p>
        </w:tc>
        <w:tc>
          <w:tcPr>
            <w:tcW w:w="40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5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0.5</w:t>
            </w:r>
          </w:p>
        </w:tc>
        <w:tc>
          <w:tcPr>
            <w:tcW w:w="3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</w:t>
            </w:r>
          </w:p>
        </w:tc>
        <w:tc>
          <w:tcPr>
            <w:tcW w:w="490" w:type="pct"/>
            <w:vMerge w:val="continue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</w:rPr>
            </w:pPr>
          </w:p>
        </w:tc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362" w:type="pct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4</w:t>
            </w:r>
          </w:p>
        </w:tc>
        <w:tc>
          <w:tcPr>
            <w:tcW w:w="71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挖掘机</w:t>
            </w:r>
          </w:p>
        </w:tc>
        <w:tc>
          <w:tcPr>
            <w:tcW w:w="55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2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台</w:t>
            </w:r>
          </w:p>
        </w:tc>
        <w:tc>
          <w:tcPr>
            <w:tcW w:w="4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</w:t>
            </w:r>
          </w:p>
        </w:tc>
        <w:tc>
          <w:tcPr>
            <w:tcW w:w="40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5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0.5</w:t>
            </w:r>
          </w:p>
        </w:tc>
        <w:tc>
          <w:tcPr>
            <w:tcW w:w="3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</w:t>
            </w:r>
          </w:p>
        </w:tc>
        <w:tc>
          <w:tcPr>
            <w:tcW w:w="490" w:type="pct"/>
            <w:vMerge w:val="continue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</w:rPr>
            </w:pPr>
          </w:p>
        </w:tc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362" w:type="pct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</w:t>
            </w:r>
          </w:p>
        </w:tc>
        <w:tc>
          <w:tcPr>
            <w:tcW w:w="71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自卸汽车</w:t>
            </w:r>
          </w:p>
        </w:tc>
        <w:tc>
          <w:tcPr>
            <w:tcW w:w="55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15t</w:t>
            </w:r>
          </w:p>
        </w:tc>
        <w:tc>
          <w:tcPr>
            <w:tcW w:w="42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台</w:t>
            </w:r>
          </w:p>
        </w:tc>
        <w:tc>
          <w:tcPr>
            <w:tcW w:w="4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4</w:t>
            </w:r>
          </w:p>
        </w:tc>
        <w:tc>
          <w:tcPr>
            <w:tcW w:w="40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5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0</w:t>
            </w:r>
            <w:r>
              <w:rPr>
                <w:rFonts w:ascii="宋体" w:hAnsi="宋体" w:cs="宋体"/>
                <w:szCs w:val="21"/>
              </w:rPr>
              <w:t>.5</w:t>
            </w:r>
          </w:p>
        </w:tc>
        <w:tc>
          <w:tcPr>
            <w:tcW w:w="3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490" w:type="pct"/>
            <w:vMerge w:val="continue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</w:rPr>
            </w:pPr>
          </w:p>
        </w:tc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362" w:type="pct"/>
            <w:tcBorders>
              <w:top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</w:t>
            </w:r>
          </w:p>
        </w:tc>
        <w:tc>
          <w:tcPr>
            <w:tcW w:w="719" w:type="pc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装载机</w:t>
            </w:r>
          </w:p>
        </w:tc>
        <w:tc>
          <w:tcPr>
            <w:tcW w:w="556" w:type="pc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</w:t>
            </w:r>
            <w:r>
              <w:rPr>
                <w:rFonts w:ascii="宋体" w:hAnsi="宋体" w:cs="宋体"/>
                <w:szCs w:val="21"/>
              </w:rPr>
              <w:t>0</w:t>
            </w:r>
            <w:r>
              <w:rPr>
                <w:rFonts w:hint="eastAsia" w:ascii="宋体" w:hAnsi="宋体" w:cs="宋体"/>
                <w:szCs w:val="21"/>
              </w:rPr>
              <w:t>型</w:t>
            </w:r>
          </w:p>
        </w:tc>
        <w:tc>
          <w:tcPr>
            <w:tcW w:w="428" w:type="pc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台</w:t>
            </w:r>
          </w:p>
        </w:tc>
        <w:tc>
          <w:tcPr>
            <w:tcW w:w="475" w:type="pc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2</w:t>
            </w:r>
          </w:p>
        </w:tc>
        <w:tc>
          <w:tcPr>
            <w:tcW w:w="407" w:type="pc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57" w:type="pc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0.5</w:t>
            </w:r>
          </w:p>
        </w:tc>
        <w:tc>
          <w:tcPr>
            <w:tcW w:w="382" w:type="pc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</w:t>
            </w:r>
          </w:p>
        </w:tc>
        <w:tc>
          <w:tcPr>
            <w:tcW w:w="490" w:type="pct"/>
            <w:vMerge w:val="continue"/>
            <w:tcBorders>
              <w:top w:val="single" w:color="000000" w:sz="4" w:space="0"/>
              <w:left w:val="single" w:color="000000" w:sz="2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</w:rPr>
            </w:pPr>
          </w:p>
        </w:tc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</w:rPr>
            </w:pPr>
          </w:p>
        </w:tc>
      </w:tr>
    </w:tbl>
    <w:p>
      <w:pPr>
        <w:widowControl/>
        <w:jc w:val="left"/>
        <w:textAlignment w:val="center"/>
        <w:rPr>
          <w:rFonts w:hint="eastAsia" w:ascii="宋体" w:hAnsi="宋体" w:cs="宋体"/>
        </w:rPr>
      </w:pPr>
    </w:p>
    <w:p>
      <w:pPr>
        <w:widowControl/>
        <w:jc w:val="left"/>
        <w:textAlignment w:val="center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注：</w:t>
      </w:r>
    </w:p>
    <w:p>
      <w:pPr>
        <w:widowControl/>
        <w:ind w:firstLine="210" w:firstLineChars="100"/>
        <w:jc w:val="left"/>
        <w:textAlignment w:val="center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1、因本项目环保要求及品质工程建设需要，若有项目业主、招标人需要增加装备的情况，投标人应配合招标人完成装备的增加，并投入使用。</w:t>
      </w:r>
    </w:p>
    <w:p>
      <w:pPr>
        <w:widowControl/>
        <w:ind w:firstLine="210" w:firstLineChars="100"/>
        <w:jc w:val="left"/>
        <w:textAlignment w:val="center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2、本表中的总数量为承包人中标后向发包人承诺的投入最低设备要求，并以书面形式纳入合同附件。</w:t>
      </w:r>
    </w:p>
    <w:p>
      <w:pPr>
        <w:widowControl/>
        <w:ind w:firstLine="210" w:firstLineChars="100"/>
        <w:jc w:val="left"/>
        <w:textAlignment w:val="center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3、所有设备购买年限均应在5年以内（发票时间2017年1月1日至今）。</w:t>
      </w:r>
    </w:p>
    <w:p>
      <w:pPr>
        <w:widowControl/>
        <w:ind w:firstLine="210" w:firstLineChars="100"/>
        <w:jc w:val="left"/>
        <w:textAlignment w:val="center"/>
        <w:rPr>
          <w:rFonts w:hint="eastAsia" w:ascii="宋体" w:hAnsi="宋体" w:cs="宋体"/>
        </w:rPr>
      </w:pPr>
      <w:r>
        <w:rPr>
          <w:rFonts w:hint="eastAsia" w:ascii="宋体" w:hAnsi="宋体" w:cs="宋体"/>
          <w:lang w:val="en-US" w:eastAsia="zh-CN"/>
        </w:rPr>
        <w:t>4</w:t>
      </w:r>
      <w:r>
        <w:rPr>
          <w:rFonts w:hint="eastAsia" w:ascii="宋体" w:hAnsi="宋体" w:cs="宋体"/>
        </w:rPr>
        <w:t>、自有设备需提供购买发票或公证机关出具的公证书。</w:t>
      </w:r>
    </w:p>
    <w:p>
      <w:pPr>
        <w:widowControl/>
        <w:ind w:firstLine="210" w:firstLineChars="100"/>
        <w:jc w:val="left"/>
        <w:textAlignment w:val="center"/>
        <w:rPr>
          <w:rFonts w:hint="eastAsia" w:ascii="宋体" w:hAnsi="宋体" w:cs="宋体"/>
        </w:rPr>
      </w:pPr>
      <w:r>
        <w:rPr>
          <w:rFonts w:hint="eastAsia" w:ascii="宋体" w:hAnsi="宋体" w:cs="宋体"/>
          <w:lang w:val="en-US" w:eastAsia="zh-CN"/>
        </w:rPr>
        <w:t>5</w:t>
      </w:r>
      <w:r>
        <w:rPr>
          <w:rFonts w:hint="eastAsia" w:ascii="宋体" w:hAnsi="宋体" w:cs="宋体"/>
        </w:rPr>
        <w:t>、若投标人提供的机械设备功率、规格大于招标人要求的，视作满足基本条件及加分条件。</w:t>
      </w:r>
    </w:p>
    <w:p>
      <w:pPr>
        <w:pStyle w:val="2"/>
        <w:rPr>
          <w:rFonts w:hint="eastAsia" w:ascii="宋体" w:hAnsi="宋体" w:eastAsia="宋体" w:cs="宋体"/>
          <w:szCs w:val="21"/>
        </w:rPr>
      </w:pPr>
    </w:p>
    <w:p>
      <w:pPr>
        <w:pStyle w:val="2"/>
        <w:rPr>
          <w:rFonts w:hint="eastAsia" w:ascii="宋体" w:hAnsi="宋体" w:eastAsia="宋体" w:cs="宋体"/>
          <w:szCs w:val="21"/>
        </w:rPr>
      </w:pPr>
    </w:p>
    <w:p>
      <w:pPr>
        <w:pStyle w:val="2"/>
        <w:rPr>
          <w:rFonts w:hint="eastAsia" w:ascii="宋体" w:hAnsi="宋体" w:eastAsia="宋体" w:cs="宋体"/>
          <w:szCs w:val="21"/>
        </w:rPr>
      </w:pPr>
    </w:p>
    <w:p>
      <w:pPr>
        <w:pStyle w:val="2"/>
        <w:rPr>
          <w:rFonts w:hint="eastAsia" w:ascii="宋体" w:hAnsi="宋体" w:eastAsia="宋体" w:cs="宋体"/>
          <w:szCs w:val="21"/>
        </w:rPr>
      </w:pPr>
    </w:p>
    <w:p>
      <w:pPr>
        <w:pStyle w:val="2"/>
        <w:rPr>
          <w:rFonts w:hint="eastAsia" w:ascii="宋体" w:hAnsi="宋体" w:eastAsia="宋体" w:cs="宋体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jc w:val="center"/>
                    </w:pP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5"/>
      <w:spacing w:line="14" w:lineRule="auto"/>
      <w:rPr>
        <w:rFonts w:ascii="宋体" w:hAnsi="宋体" w:cs="宋体"/>
        <w:sz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A0621E"/>
    <w:rsid w:val="06143AEF"/>
    <w:rsid w:val="16EC6ADA"/>
    <w:rsid w:val="17C53ACA"/>
    <w:rsid w:val="23A30A59"/>
    <w:rsid w:val="51346FA6"/>
    <w:rsid w:val="58F84152"/>
    <w:rsid w:val="659B1D28"/>
    <w:rsid w:val="6CD82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4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/>
      <w:b/>
      <w:sz w:val="32"/>
      <w:szCs w:val="20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2"/>
    <w:basedOn w:val="1"/>
    <w:next w:val="1"/>
    <w:qFormat/>
    <w:uiPriority w:val="0"/>
    <w:pPr>
      <w:ind w:firstLine="570"/>
    </w:pPr>
    <w:rPr>
      <w:rFonts w:ascii="仿宋" w:hAnsi="仿宋" w:eastAsia="仿宋"/>
      <w:kern w:val="0"/>
      <w:sz w:val="20"/>
    </w:rPr>
  </w:style>
  <w:style w:type="paragraph" w:styleId="5">
    <w:name w:val="Body Text"/>
    <w:basedOn w:val="1"/>
    <w:next w:val="1"/>
    <w:qFormat/>
    <w:uiPriority w:val="0"/>
    <w:pPr>
      <w:spacing w:after="120"/>
    </w:pPr>
    <w:rPr>
      <w:szCs w:val="24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toc 1"/>
    <w:basedOn w:val="1"/>
    <w:next w:val="1"/>
    <w:qFormat/>
    <w:uiPriority w:val="39"/>
    <w:pPr>
      <w:spacing w:before="120" w:after="120"/>
      <w:jc w:val="left"/>
    </w:pPr>
    <w:rPr>
      <w:b/>
      <w:bCs/>
      <w:caps/>
      <w:sz w:val="20"/>
      <w:szCs w:val="20"/>
    </w:rPr>
  </w:style>
  <w:style w:type="character" w:styleId="10">
    <w:name w:val="Hyperlink"/>
    <w:qFormat/>
    <w:uiPriority w:val="99"/>
    <w:rPr>
      <w:color w:val="0000FF"/>
      <w:u w:val="single"/>
    </w:rPr>
  </w:style>
  <w:style w:type="paragraph" w:customStyle="1" w:styleId="11">
    <w:name w:val="列出段落1"/>
    <w:basedOn w:val="1"/>
    <w:qFormat/>
    <w:uiPriority w:val="0"/>
    <w:pPr>
      <w:ind w:firstLine="420" w:firstLineChars="200"/>
    </w:pPr>
  </w:style>
  <w:style w:type="paragraph" w:customStyle="1" w:styleId="12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13">
    <w:name w:val="p0"/>
    <w:basedOn w:val="1"/>
    <w:qFormat/>
    <w:uiPriority w:val="99"/>
    <w:pPr>
      <w:widowControl/>
      <w:jc w:val="left"/>
    </w:pPr>
    <w:rPr>
      <w:rFonts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111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2022-03-09T04:03:00Z</dcterms:created>
  <dc:creator>admin</dc:creator>
  <cp:lastModifiedBy>Sensual</cp:lastModifiedBy>
  <cp:lastPrinted>2022-03-09T06:09:00Z</cp:lastPrinted>
  <dcterms:modified xsi:type="dcterms:W3CDTF">2022-03-09T06:47:06Z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1147D09A17F34223B3EE3896CA908B6F</vt:lpwstr>
  </property>
</Properties>
</file>