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G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eastAsia="zh-CN"/>
        </w:rPr>
        <w:t>0615线久治（川青界）至马尔康段高速公路项目C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CN" w:eastAsia="zh-CN"/>
        </w:rPr>
        <w:t>总承包部桥梁上部结构（含梁厂建设与拆除）及桥面附属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施工分包项目 补遗书第1号</w:t>
      </w:r>
    </w:p>
    <w:p>
      <w:pPr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各投标人：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本补遗书以《G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0615线久治（川青界）至马尔康段高速公路项目C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zh-CN" w:eastAsia="zh-CN"/>
        </w:rPr>
        <w:t>总承包部桥梁上部结构（含梁厂建设与拆除）及桥面附属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施工分包项目》招标文件为基础，结合本项目实际情况进一步予以完善与补充，以作为投标的共同基础和合同执行的依据，若招标文件与本补遗书不一致，以本补遗书为准。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关于招标公告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第5.投标保证金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第6.招标文件的获取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和投标人须知前附表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第3.4.1投标保证金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因账户发生变更，现将招标公告“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5.投标保证金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”、“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6.招标文件的获取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和投标人须知前附表“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第3.4.1投标保证金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中的指定账户变更为如下账户，请各投标人将投标保证金和报名费转至该账户。</w:t>
      </w:r>
    </w:p>
    <w:p>
      <w:pPr>
        <w:pStyle w:val="2"/>
        <w:spacing w:line="360" w:lineRule="auto"/>
        <w:ind w:firstLine="894" w:firstLineChars="371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账户名称：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四川省交通建设集团股份有限公司</w:t>
      </w:r>
    </w:p>
    <w:p>
      <w:pPr>
        <w:pStyle w:val="2"/>
        <w:spacing w:line="360" w:lineRule="auto"/>
        <w:ind w:firstLine="894" w:firstLineChars="371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银行账号：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4402256019100286986-000000007</w:t>
      </w:r>
    </w:p>
    <w:p>
      <w:pPr>
        <w:pStyle w:val="2"/>
        <w:spacing w:line="360" w:lineRule="auto"/>
        <w:ind w:firstLine="894" w:firstLineChars="371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开户行：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工行成都滨江武侯祠支行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关于招标公告“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TJ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6-3分段桥梁上部工程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拟投入机械明细表（最低要求）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”现修改为下表所示：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2"/>
        <w:widowControl w:val="0"/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TJ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6-3分段桥梁上部工程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拟投入机械明细表（最低要求）</w:t>
      </w:r>
    </w:p>
    <w:tbl>
      <w:tblPr>
        <w:tblStyle w:val="3"/>
        <w:tblW w:w="97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475"/>
        <w:gridCol w:w="990"/>
        <w:gridCol w:w="720"/>
        <w:gridCol w:w="1125"/>
        <w:gridCol w:w="990"/>
        <w:gridCol w:w="1545"/>
        <w:gridCol w:w="836"/>
        <w:gridCol w:w="1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基本要求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每增加一台自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有设备加分值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加分值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上限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自有数量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数控钢筋弯箍机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SWG12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本表所列示的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自有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附发票或公证书方为有效。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数控钢筋切断机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GQ42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捣固机具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2.2KW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增压泵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3KW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龙门吊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龙门吊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运梁车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160t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架桥机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180T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柴油发电机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柴油发电机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350KW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前夹式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智能张拉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智能压浆设备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定位模架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25m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普通模板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智能喷淋养生系统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附着式高频震动器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挖掘机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200型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装载机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ZL50G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材料运输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  <w:t>蒸汽养生设备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5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蒸汽锅炉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污水处理系统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吊车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75t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主要用于场站内外预制梁板转运，根据现场实际需求可采用临租或月租。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吊车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25t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防撞护栏模板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拌合设备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90m³/h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</w:rPr>
        <w:t>注：1、设备需具备施工能力满足实际施工需要，本表为最低要求，投标人应根据施工需要或招标人的要求增加，自有设备以购买发票或公证机关出具的公证书为准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四川省交通建设集团股份有限公司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2022年1月24日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E234A"/>
    <w:multiLevelType w:val="singleLevel"/>
    <w:tmpl w:val="5F3E23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A3F39"/>
    <w:rsid w:val="04353775"/>
    <w:rsid w:val="1C116EFC"/>
    <w:rsid w:val="231A62A7"/>
    <w:rsid w:val="252A2AF2"/>
    <w:rsid w:val="277F62DA"/>
    <w:rsid w:val="44A969AD"/>
    <w:rsid w:val="463125B3"/>
    <w:rsid w:val="463F7D48"/>
    <w:rsid w:val="516C4EB5"/>
    <w:rsid w:val="571E301B"/>
    <w:rsid w:val="597B766A"/>
    <w:rsid w:val="5ECC7FC2"/>
    <w:rsid w:val="650E7D42"/>
    <w:rsid w:val="69997128"/>
    <w:rsid w:val="724222FD"/>
    <w:rsid w:val="778A194F"/>
    <w:rsid w:val="783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5">
    <w:name w:val="图表文字"/>
    <w:next w:val="1"/>
    <w:qFormat/>
    <w:uiPriority w:val="0"/>
    <w:pPr>
      <w:widowControl w:val="0"/>
      <w:spacing w:before="50" w:beforeLines="50" w:after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2020-08-19T13:45:00Z</dcterms:created>
  <dc:creator>Administrator</dc:creator>
  <cp:lastModifiedBy>Sensual</cp:lastModifiedBy>
  <cp:lastPrinted>2022-01-24T05:47:00Z</cp:lastPrinted>
  <dcterms:modified xsi:type="dcterms:W3CDTF">2022-01-24T08:19:08Z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AD50921BEFF741EF9D3DA1F4FC721FCE</vt:lpwstr>
  </property>
</Properties>
</file>