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t>四川省钢构智造有限公司</w:t>
      </w:r>
    </w:p>
    <w:p>
      <w:pPr>
        <w:spacing w:line="360" w:lineRule="auto"/>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lang w:val="en-US" w:eastAsia="zh-CN"/>
        </w:rPr>
        <w:t>眉山基地项目施工监理招标</w:t>
      </w:r>
      <w:r>
        <w:rPr>
          <w:rFonts w:hint="eastAsia" w:ascii="方正小标宋简体" w:hAnsi="方正小标宋简体" w:eastAsia="方正小标宋简体" w:cs="方正小标宋简体"/>
          <w:b w:val="0"/>
          <w:bCs w:val="0"/>
          <w:sz w:val="32"/>
          <w:szCs w:val="32"/>
          <w:highlight w:val="none"/>
        </w:rPr>
        <w:t>补遗书 第1号</w:t>
      </w:r>
    </w:p>
    <w:p>
      <w:pPr>
        <w:rPr>
          <w:rFonts w:hint="eastAsia"/>
          <w:highlight w:val="none"/>
        </w:rPr>
      </w:pPr>
    </w:p>
    <w:p>
      <w:pPr>
        <w:tabs>
          <w:tab w:val="left" w:pos="3480"/>
          <w:tab w:val="left" w:pos="4520"/>
          <w:tab w:val="left" w:pos="5560"/>
        </w:tabs>
        <w:autoSpaceDE w:val="0"/>
        <w:autoSpaceDN w:val="0"/>
        <w:adjustRightIn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本补遗书以《</w:t>
      </w:r>
      <w:r>
        <w:rPr>
          <w:rFonts w:hint="eastAsia" w:ascii="宋体" w:hAnsi="宋体" w:cs="宋体"/>
          <w:sz w:val="24"/>
          <w:szCs w:val="24"/>
          <w:highlight w:val="none"/>
          <w:lang w:val="en-US" w:eastAsia="zh-CN"/>
        </w:rPr>
        <w:t>四川省钢构智造有限公司眉山基地项目施工监理招标</w:t>
      </w:r>
      <w:r>
        <w:rPr>
          <w:rFonts w:hint="eastAsia" w:ascii="宋体" w:hAnsi="宋体" w:cs="宋体"/>
          <w:sz w:val="24"/>
          <w:szCs w:val="24"/>
          <w:highlight w:val="none"/>
        </w:rPr>
        <w:t>》为基础，结合本项目实际情况进一步予以完善与补充，以作为投标的共</w:t>
      </w:r>
      <w:bookmarkStart w:id="0" w:name="_GoBack"/>
      <w:bookmarkEnd w:id="0"/>
      <w:r>
        <w:rPr>
          <w:rFonts w:hint="eastAsia" w:ascii="宋体" w:hAnsi="宋体" w:cs="宋体"/>
          <w:sz w:val="24"/>
          <w:szCs w:val="24"/>
          <w:highlight w:val="none"/>
        </w:rPr>
        <w:t>同基础和合同执行的依据，补遗书如与招标文件不一致，以补遗书为准。</w:t>
      </w:r>
    </w:p>
    <w:p>
      <w:pPr>
        <w:pStyle w:val="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原招标公告</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2.项目概况与招标范围 2.3 建设内容及规模</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lang w:eastAsia="zh-CN"/>
        </w:rPr>
        <w:t xml:space="preserve"> </w:t>
      </w:r>
      <w:r>
        <w:rPr>
          <w:rFonts w:hint="eastAsia" w:ascii="宋体" w:hAnsi="宋体"/>
          <w:sz w:val="24"/>
          <w:szCs w:val="24"/>
          <w:highlight w:val="none"/>
        </w:rPr>
        <w:t>建设内容及规模：</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基础工程及厂区建设</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690亩</w:t>
      </w:r>
      <w:r>
        <w:rPr>
          <w:rFonts w:ascii="宋体" w:hAnsi="宋体"/>
          <w:sz w:val="24"/>
          <w:szCs w:val="24"/>
          <w:highlight w:val="none"/>
          <w:u w:val="single"/>
        </w:rPr>
        <w:t xml:space="preserve"> </w:t>
      </w:r>
    </w:p>
    <w:p>
      <w:pPr>
        <w:pStyle w:val="2"/>
        <w:rPr>
          <w:rFonts w:hint="eastAsia"/>
          <w:highlight w:val="none"/>
          <w:lang w:eastAsia="zh-CN"/>
        </w:rPr>
      </w:pPr>
    </w:p>
    <w:p>
      <w:pPr>
        <w:pStyle w:val="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原招标公告</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2.项目概况与招标范围 2.4 计划工期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 计划工期：</w:t>
      </w:r>
      <w:r>
        <w:rPr>
          <w:rFonts w:hint="eastAsia" w:ascii="宋体" w:hAnsi="宋体" w:cs="宋体"/>
          <w:sz w:val="24"/>
          <w:szCs w:val="24"/>
          <w:highlight w:val="none"/>
          <w:u w:val="single"/>
          <w:lang w:val="en-US" w:eastAsia="zh-CN"/>
        </w:rPr>
        <w:t>365天</w:t>
      </w:r>
    </w:p>
    <w:p>
      <w:pPr>
        <w:pStyle w:val="2"/>
        <w:rPr>
          <w:rFonts w:hint="eastAsia"/>
          <w:highlight w:val="none"/>
          <w:lang w:eastAsia="zh-CN"/>
        </w:rPr>
      </w:pPr>
    </w:p>
    <w:p>
      <w:pPr>
        <w:pStyle w:val="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原招标公告</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3.投标人资格要求 3.1条</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b/>
          <w:bCs/>
          <w:szCs w:val="28"/>
          <w:highlight w:val="none"/>
        </w:rPr>
      </w:pPr>
      <w:r>
        <w:rPr>
          <w:rFonts w:hint="eastAsia" w:ascii="宋体" w:hAnsi="宋体" w:cs="宋体"/>
          <w:sz w:val="24"/>
          <w:szCs w:val="24"/>
          <w:highlight w:val="none"/>
          <w:lang w:val="en-US" w:eastAsia="zh-CN"/>
        </w:rPr>
        <w:t>3.1本次招标要求投标人须具备</w:t>
      </w:r>
      <w:r>
        <w:rPr>
          <w:rFonts w:hint="eastAsia" w:ascii="宋体" w:hAnsi="宋体" w:cs="宋体"/>
          <w:sz w:val="24"/>
          <w:szCs w:val="24"/>
          <w:highlight w:val="none"/>
          <w:u w:val="single"/>
          <w:lang w:val="en-US" w:eastAsia="zh-CN"/>
        </w:rPr>
        <w:t xml:space="preserve"> </w:t>
      </w:r>
      <w:r>
        <w:rPr>
          <w:rFonts w:hint="eastAsia" w:ascii="宋体" w:hAnsi="宋体" w:cs="宋体"/>
          <w:b/>
          <w:bCs/>
          <w:sz w:val="24"/>
          <w:szCs w:val="24"/>
          <w:highlight w:val="none"/>
          <w:u w:val="single"/>
          <w:lang w:val="en-US" w:eastAsia="zh-CN"/>
        </w:rPr>
        <w:t>住建部颁发的工程监理综合资质或房屋建筑工程甲级监理</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资质，</w:t>
      </w:r>
      <w:r>
        <w:rPr>
          <w:rFonts w:hint="eastAsia" w:ascii="宋体" w:hAnsi="宋体" w:cs="宋体"/>
          <w:b/>
          <w:bCs/>
          <w:sz w:val="24"/>
          <w:szCs w:val="24"/>
          <w:highlight w:val="none"/>
          <w:u w:val="double"/>
          <w:lang w:val="en-US" w:eastAsia="zh-CN"/>
        </w:rPr>
        <w:t>近5年（ 2016 年— 2021 年）至少有2个的类似项目业绩。</w:t>
      </w:r>
    </w:p>
    <w:p>
      <w:pPr>
        <w:pStyle w:val="2"/>
        <w:rPr>
          <w:rFonts w:hint="eastAsia"/>
          <w:highlight w:val="none"/>
          <w:lang w:eastAsia="zh-CN"/>
        </w:rPr>
      </w:pPr>
    </w:p>
    <w:p>
      <w:pPr>
        <w:pStyle w:val="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原招标公告</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5.投标文件的递交</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p>
      <w:pPr>
        <w:pStyle w:val="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投标人在</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rPr>
        <w:t>年</w:t>
      </w:r>
      <w:r>
        <w:rPr>
          <w:rFonts w:hint="eastAsia" w:hAnsi="宋体" w:cs="宋体"/>
          <w:sz w:val="21"/>
          <w:szCs w:val="21"/>
          <w:highlight w:val="none"/>
          <w:u w:val="single"/>
          <w:lang w:val="en-US" w:eastAsia="zh-CN"/>
        </w:rPr>
        <w:t>1</w:t>
      </w:r>
      <w:r>
        <w:rPr>
          <w:rFonts w:hint="eastAsia" w:ascii="宋体" w:hAnsi="宋体" w:eastAsia="宋体" w:cs="宋体"/>
          <w:sz w:val="21"/>
          <w:szCs w:val="21"/>
          <w:highlight w:val="none"/>
          <w:u w:val="single"/>
        </w:rPr>
        <w:t>月</w:t>
      </w:r>
      <w:r>
        <w:rPr>
          <w:rFonts w:hint="eastAsia" w:hAnsi="宋体" w:cs="宋体"/>
          <w:sz w:val="21"/>
          <w:szCs w:val="21"/>
          <w:highlight w:val="none"/>
          <w:u w:val="single"/>
          <w:lang w:val="en-US" w:eastAsia="zh-CN"/>
        </w:rPr>
        <w:t>28</w:t>
      </w:r>
      <w:r>
        <w:rPr>
          <w:rFonts w:hint="eastAsia" w:ascii="宋体" w:hAnsi="宋体" w:eastAsia="宋体" w:cs="宋体"/>
          <w:sz w:val="21"/>
          <w:szCs w:val="21"/>
          <w:highlight w:val="none"/>
          <w:u w:val="single"/>
        </w:rPr>
        <w:t>日上午9:</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将按要求密封完好的投标文件以面交方式送达成</w:t>
      </w:r>
      <w:r>
        <w:rPr>
          <w:rFonts w:hint="eastAsia" w:ascii="宋体" w:hAnsi="宋体" w:eastAsia="宋体" w:cs="宋体"/>
          <w:bCs/>
          <w:sz w:val="21"/>
          <w:szCs w:val="21"/>
          <w:highlight w:val="none"/>
        </w:rPr>
        <w:t>都市二环路西一段90号交投大厦8楼</w:t>
      </w:r>
      <w:r>
        <w:rPr>
          <w:rFonts w:hint="eastAsia" w:ascii="宋体" w:hAnsi="宋体" w:eastAsia="宋体" w:cs="宋体"/>
          <w:bCs/>
          <w:sz w:val="21"/>
          <w:szCs w:val="21"/>
          <w:highlight w:val="none"/>
          <w:u w:val="single"/>
        </w:rPr>
        <w:t>A</w:t>
      </w:r>
      <w:r>
        <w:rPr>
          <w:rFonts w:hint="eastAsia" w:ascii="宋体" w:hAnsi="宋体" w:eastAsia="宋体" w:cs="宋体"/>
          <w:bCs/>
          <w:sz w:val="21"/>
          <w:szCs w:val="21"/>
          <w:highlight w:val="none"/>
          <w:u w:val="single"/>
          <w:lang w:val="en-US" w:eastAsia="zh-CN"/>
        </w:rPr>
        <w:t>0</w:t>
      </w:r>
      <w:r>
        <w:rPr>
          <w:rFonts w:hint="eastAsia" w:ascii="宋体" w:hAnsi="宋体" w:eastAsia="宋体" w:cs="宋体"/>
          <w:bCs/>
          <w:sz w:val="21"/>
          <w:szCs w:val="21"/>
          <w:highlight w:val="none"/>
          <w:u w:val="single"/>
        </w:rPr>
        <w:t>826</w:t>
      </w:r>
      <w:r>
        <w:rPr>
          <w:rFonts w:hint="eastAsia" w:ascii="宋体" w:hAnsi="宋体" w:eastAsia="宋体" w:cs="宋体"/>
          <w:sz w:val="21"/>
          <w:szCs w:val="21"/>
          <w:highlight w:val="none"/>
        </w:rPr>
        <w:t>本项目开标室，投标截止日期为</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rPr>
        <w:t>年</w:t>
      </w:r>
      <w:r>
        <w:rPr>
          <w:rFonts w:hint="eastAsia" w:hAnsi="宋体" w:cs="宋体"/>
          <w:sz w:val="21"/>
          <w:szCs w:val="21"/>
          <w:highlight w:val="none"/>
          <w:u w:val="single"/>
          <w:lang w:val="en-US" w:eastAsia="zh-CN"/>
        </w:rPr>
        <w:t>1</w:t>
      </w:r>
      <w:r>
        <w:rPr>
          <w:rFonts w:hint="eastAsia" w:ascii="宋体" w:hAnsi="宋体" w:eastAsia="宋体" w:cs="宋体"/>
          <w:sz w:val="21"/>
          <w:szCs w:val="21"/>
          <w:highlight w:val="none"/>
          <w:u w:val="single"/>
        </w:rPr>
        <w:t>月</w:t>
      </w:r>
      <w:r>
        <w:rPr>
          <w:rFonts w:hint="eastAsia" w:hAnsi="宋体" w:cs="宋体"/>
          <w:sz w:val="21"/>
          <w:szCs w:val="21"/>
          <w:highlight w:val="none"/>
          <w:u w:val="single"/>
          <w:lang w:val="en-US" w:eastAsia="zh-CN"/>
        </w:rPr>
        <w:t>28</w:t>
      </w:r>
      <w:r>
        <w:rPr>
          <w:rFonts w:hint="eastAsia" w:ascii="宋体" w:hAnsi="宋体" w:eastAsia="宋体" w:cs="宋体"/>
          <w:sz w:val="21"/>
          <w:szCs w:val="21"/>
          <w:highlight w:val="none"/>
          <w:u w:val="single"/>
        </w:rPr>
        <w:t>日上午</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。招标人将于投标文件递交截止时间的同一时间、同一地点举行公开开标，投标人应派代表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持经办人身份证、单位介绍信）出席并签认开标结果。</w:t>
      </w:r>
    </w:p>
    <w:p>
      <w:pPr>
        <w:pStyle w:val="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投标人逾期送达的或者未送达指定地点或未按招标文件要求密封投标文件的，招标人将不予受理投标文件。</w:t>
      </w:r>
    </w:p>
    <w:p>
      <w:pPr>
        <w:pStyle w:val="2"/>
        <w:rPr>
          <w:rFonts w:hint="eastAsia"/>
          <w:highlight w:val="none"/>
        </w:rPr>
      </w:pPr>
    </w:p>
    <w:p>
      <w:pPr>
        <w:pStyle w:val="11"/>
        <w:keepNext w:val="0"/>
        <w:keepLines w:val="0"/>
        <w:pageBreakBefore w:val="0"/>
        <w:numPr>
          <w:ilvl w:val="0"/>
          <w:numId w:val="1"/>
        </w:numPr>
        <w:tabs>
          <w:tab w:val="right" w:leader="dot" w:pos="8306"/>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w:t>
      </w:r>
      <w:r>
        <w:rPr>
          <w:rFonts w:hint="eastAsia" w:ascii="宋体" w:hAnsi="宋体" w:cs="宋体"/>
          <w:b/>
          <w:bCs/>
          <w:sz w:val="24"/>
          <w:szCs w:val="24"/>
          <w:highlight w:val="none"/>
          <w:lang w:val="en-US" w:eastAsia="zh-CN"/>
        </w:rPr>
        <w:t>招标文件</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投标人须知</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投标人须知前附表</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082"/>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before="120" w:beforeLines="50" w:line="360" w:lineRule="auto"/>
              <w:jc w:val="center"/>
              <w:rPr>
                <w:rFonts w:ascii="宋体"/>
                <w:b/>
                <w:szCs w:val="21"/>
                <w:highlight w:val="none"/>
              </w:rPr>
            </w:pPr>
            <w:r>
              <w:rPr>
                <w:rFonts w:hint="eastAsia" w:ascii="宋体" w:hAnsi="宋体"/>
                <w:b/>
                <w:szCs w:val="21"/>
                <w:highlight w:val="none"/>
              </w:rPr>
              <w:t>条款号</w:t>
            </w:r>
          </w:p>
        </w:tc>
        <w:tc>
          <w:tcPr>
            <w:tcW w:w="1221" w:type="pct"/>
            <w:shd w:val="clear" w:color="000000" w:fill="auto"/>
            <w:noWrap w:val="0"/>
            <w:vAlign w:val="center"/>
          </w:tcPr>
          <w:p>
            <w:pPr>
              <w:jc w:val="center"/>
              <w:rPr>
                <w:rFonts w:ascii="宋体"/>
                <w:b/>
                <w:szCs w:val="21"/>
                <w:highlight w:val="none"/>
              </w:rPr>
            </w:pPr>
            <w:r>
              <w:rPr>
                <w:rFonts w:hint="eastAsia" w:ascii="宋体" w:hAnsi="宋体"/>
                <w:b/>
                <w:szCs w:val="21"/>
                <w:highlight w:val="none"/>
              </w:rPr>
              <w:t>条</w:t>
            </w:r>
            <w:r>
              <w:rPr>
                <w:rFonts w:ascii="宋体" w:hAnsi="宋体"/>
                <w:b/>
                <w:szCs w:val="21"/>
                <w:highlight w:val="none"/>
              </w:rPr>
              <w:t xml:space="preserve"> </w:t>
            </w:r>
            <w:r>
              <w:rPr>
                <w:rFonts w:hint="eastAsia" w:ascii="宋体" w:hAnsi="宋体"/>
                <w:b/>
                <w:szCs w:val="21"/>
                <w:highlight w:val="none"/>
              </w:rPr>
              <w:t>款</w:t>
            </w:r>
            <w:r>
              <w:rPr>
                <w:rFonts w:ascii="宋体" w:hAnsi="宋体"/>
                <w:b/>
                <w:szCs w:val="21"/>
                <w:highlight w:val="none"/>
              </w:rPr>
              <w:t xml:space="preserve"> </w:t>
            </w:r>
            <w:r>
              <w:rPr>
                <w:rFonts w:hint="eastAsia" w:ascii="宋体" w:hAnsi="宋体"/>
                <w:b/>
                <w:szCs w:val="21"/>
                <w:highlight w:val="none"/>
              </w:rPr>
              <w:t>名</w:t>
            </w:r>
            <w:r>
              <w:rPr>
                <w:rFonts w:ascii="宋体" w:hAnsi="宋体"/>
                <w:b/>
                <w:szCs w:val="21"/>
                <w:highlight w:val="none"/>
              </w:rPr>
              <w:t xml:space="preserve"> </w:t>
            </w:r>
            <w:r>
              <w:rPr>
                <w:rFonts w:hint="eastAsia" w:ascii="宋体" w:hAnsi="宋体"/>
                <w:b/>
                <w:szCs w:val="21"/>
                <w:highlight w:val="none"/>
              </w:rPr>
              <w:t>称</w:t>
            </w:r>
          </w:p>
        </w:tc>
        <w:tc>
          <w:tcPr>
            <w:tcW w:w="3261" w:type="pct"/>
            <w:shd w:val="clear" w:color="000000" w:fill="auto"/>
            <w:noWrap w:val="0"/>
            <w:vAlign w:val="center"/>
          </w:tcPr>
          <w:p>
            <w:pPr>
              <w:spacing w:before="120" w:beforeLines="50" w:line="360" w:lineRule="auto"/>
              <w:jc w:val="center"/>
              <w:rPr>
                <w:rFonts w:ascii="宋体"/>
                <w:b/>
                <w:szCs w:val="21"/>
                <w:highlight w:val="none"/>
              </w:rPr>
            </w:pPr>
            <w:r>
              <w:rPr>
                <w:rFonts w:hint="eastAsia" w:ascii="宋体" w:hAnsi="宋体"/>
                <w:b/>
                <w:szCs w:val="21"/>
                <w:highlight w:val="none"/>
              </w:rPr>
              <w:t>编</w:t>
            </w:r>
            <w:r>
              <w:rPr>
                <w:rFonts w:ascii="宋体" w:hAnsi="宋体"/>
                <w:b/>
                <w:szCs w:val="21"/>
                <w:highlight w:val="none"/>
              </w:rPr>
              <w:t xml:space="preserve"> </w:t>
            </w:r>
            <w:r>
              <w:rPr>
                <w:rFonts w:hint="eastAsia" w:ascii="宋体" w:hAnsi="宋体"/>
                <w:b/>
                <w:szCs w:val="21"/>
                <w:highlight w:val="none"/>
              </w:rPr>
              <w:t>列</w:t>
            </w:r>
            <w:r>
              <w:rPr>
                <w:rFonts w:ascii="宋体" w:hAnsi="宋体"/>
                <w:b/>
                <w:szCs w:val="21"/>
                <w:highlight w:val="none"/>
              </w:rPr>
              <w:t xml:space="preserve"> </w:t>
            </w:r>
            <w:r>
              <w:rPr>
                <w:rFonts w:hint="eastAsia" w:ascii="宋体" w:hAnsi="宋体"/>
                <w:b/>
                <w:szCs w:val="21"/>
                <w:highlight w:val="none"/>
              </w:rPr>
              <w:t>内</w:t>
            </w:r>
            <w:r>
              <w:rPr>
                <w:rFonts w:ascii="宋体" w:hAnsi="宋体"/>
                <w:b/>
                <w:szCs w:val="21"/>
                <w:highlight w:val="none"/>
              </w:rPr>
              <w:t xml:space="preserve"> </w:t>
            </w:r>
            <w:r>
              <w:rPr>
                <w:rFonts w:hint="eastAsia" w:ascii="宋体" w:hAnsi="宋体"/>
                <w:b/>
                <w:szCs w:val="21"/>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1.1.2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招标人</w:t>
            </w:r>
          </w:p>
        </w:tc>
        <w:tc>
          <w:tcPr>
            <w:tcW w:w="3261" w:type="pct"/>
            <w:shd w:val="clear" w:color="000000" w:fill="auto"/>
            <w:noWrap w:val="0"/>
            <w:vAlign w:val="center"/>
          </w:tcPr>
          <w:p>
            <w:pPr>
              <w:pStyle w:val="3"/>
              <w:snapToGrid w:val="0"/>
              <w:spacing w:line="240" w:lineRule="auto"/>
              <w:ind w:firstLine="0"/>
              <w:rPr>
                <w:rFonts w:hint="eastAsia" w:ascii="宋体" w:hAnsi="宋体"/>
                <w:color w:val="auto"/>
                <w:szCs w:val="21"/>
                <w:highlight w:val="none"/>
              </w:rPr>
            </w:pPr>
            <w:r>
              <w:rPr>
                <w:rFonts w:hint="eastAsia" w:ascii="宋体" w:hAnsi="宋体"/>
                <w:color w:val="auto"/>
                <w:szCs w:val="21"/>
                <w:highlight w:val="none"/>
              </w:rPr>
              <w:t>招标人：四川省交通建设集团股份有限公司</w:t>
            </w:r>
          </w:p>
          <w:p>
            <w:pPr>
              <w:pStyle w:val="3"/>
              <w:snapToGrid w:val="0"/>
              <w:spacing w:line="240" w:lineRule="auto"/>
              <w:ind w:firstLine="0"/>
              <w:rPr>
                <w:rFonts w:hint="eastAsia" w:ascii="宋体" w:hAnsi="宋体"/>
                <w:color w:val="auto"/>
                <w:szCs w:val="21"/>
                <w:highlight w:val="none"/>
              </w:rPr>
            </w:pPr>
            <w:r>
              <w:rPr>
                <w:rFonts w:hint="eastAsia" w:ascii="宋体" w:hAnsi="宋体"/>
                <w:color w:val="auto"/>
                <w:szCs w:val="21"/>
                <w:highlight w:val="none"/>
              </w:rPr>
              <w:t>联系人：李疆</w:t>
            </w:r>
          </w:p>
          <w:p>
            <w:pPr>
              <w:pStyle w:val="3"/>
              <w:snapToGrid w:val="0"/>
              <w:spacing w:line="240" w:lineRule="auto"/>
              <w:ind w:firstLine="0"/>
              <w:rPr>
                <w:rFonts w:hint="eastAsia" w:ascii="宋体" w:hAnsi="宋体"/>
                <w:color w:val="auto"/>
                <w:szCs w:val="21"/>
                <w:highlight w:val="none"/>
              </w:rPr>
            </w:pPr>
            <w:r>
              <w:rPr>
                <w:rFonts w:hint="eastAsia" w:ascii="宋体" w:hAnsi="宋体"/>
                <w:color w:val="auto"/>
                <w:szCs w:val="21"/>
                <w:highlight w:val="none"/>
              </w:rPr>
              <w:t>电话：18080494201</w:t>
            </w:r>
          </w:p>
          <w:p>
            <w:pPr>
              <w:pStyle w:val="3"/>
              <w:snapToGrid w:val="0"/>
              <w:spacing w:line="240" w:lineRule="auto"/>
              <w:ind w:firstLine="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地址：</w:t>
            </w:r>
            <w:r>
              <w:rPr>
                <w:rFonts w:hint="eastAsia" w:ascii="宋体" w:hAnsi="宋体"/>
                <w:color w:val="auto"/>
                <w:szCs w:val="21"/>
                <w:highlight w:val="none"/>
                <w:u w:val="double"/>
                <w:lang w:val="en-US" w:eastAsia="zh-CN"/>
              </w:rPr>
              <w:t>四川省眉山市东坡区修文镇滨河东路38号</w:t>
            </w:r>
          </w:p>
          <w:p>
            <w:pPr>
              <w:pStyle w:val="3"/>
              <w:adjustRightInd/>
              <w:spacing w:line="240" w:lineRule="auto"/>
              <w:ind w:firstLine="0"/>
              <w:rPr>
                <w:rFonts w:ascii="宋体" w:hAnsi="宋体"/>
                <w:szCs w:val="21"/>
                <w:highlight w:val="none"/>
                <w:u w:val="single"/>
              </w:rPr>
            </w:pPr>
            <w:r>
              <w:rPr>
                <w:rFonts w:hint="eastAsia" w:ascii="宋体" w:hAnsi="宋体"/>
                <w:color w:val="auto"/>
                <w:szCs w:val="21"/>
                <w:highlight w:val="none"/>
              </w:rPr>
              <w:t>E-Mail：4207480</w:t>
            </w:r>
            <w:r>
              <w:rPr>
                <w:rFonts w:ascii="宋体" w:hAnsi="宋体"/>
                <w:color w:val="auto"/>
                <w:szCs w:val="21"/>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1.1.4</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项目名称</w:t>
            </w:r>
          </w:p>
        </w:tc>
        <w:tc>
          <w:tcPr>
            <w:tcW w:w="3261" w:type="pct"/>
            <w:shd w:val="clear" w:color="000000" w:fill="auto"/>
            <w:noWrap w:val="0"/>
            <w:vAlign w:val="center"/>
          </w:tcPr>
          <w:p>
            <w:pPr>
              <w:spacing w:line="360" w:lineRule="auto"/>
              <w:jc w:val="left"/>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四川省钢构智造有限公司眉山基地</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1.1.5</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建设地点</w:t>
            </w:r>
          </w:p>
        </w:tc>
        <w:tc>
          <w:tcPr>
            <w:tcW w:w="3261" w:type="pct"/>
            <w:shd w:val="clear" w:color="000000" w:fill="auto"/>
            <w:noWrap w:val="0"/>
            <w:vAlign w:val="center"/>
          </w:tcPr>
          <w:p>
            <w:pPr>
              <w:spacing w:line="360" w:lineRule="auto"/>
              <w:jc w:val="left"/>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四川省眉山市</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1.2.1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资金来源</w:t>
            </w:r>
          </w:p>
        </w:tc>
        <w:tc>
          <w:tcPr>
            <w:tcW w:w="3261" w:type="pct"/>
            <w:shd w:val="clear" w:color="000000" w:fill="auto"/>
            <w:noWrap w:val="0"/>
            <w:vAlign w:val="center"/>
          </w:tcPr>
          <w:p>
            <w:pPr>
              <w:spacing w:line="360" w:lineRule="auto"/>
              <w:jc w:val="left"/>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国有资金</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1.2.3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资金落实情况</w:t>
            </w:r>
          </w:p>
        </w:tc>
        <w:tc>
          <w:tcPr>
            <w:tcW w:w="3261" w:type="pct"/>
            <w:shd w:val="clear" w:color="000000" w:fill="auto"/>
            <w:noWrap w:val="0"/>
            <w:vAlign w:val="center"/>
          </w:tcPr>
          <w:p>
            <w:pPr>
              <w:spacing w:line="360" w:lineRule="auto"/>
              <w:jc w:val="left"/>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已落实</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1.3.1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招标范围</w:t>
            </w:r>
          </w:p>
        </w:tc>
        <w:tc>
          <w:tcPr>
            <w:tcW w:w="3261" w:type="pct"/>
            <w:shd w:val="clear" w:color="000000" w:fill="auto"/>
            <w:noWrap w:val="0"/>
            <w:vAlign w:val="center"/>
          </w:tcPr>
          <w:p>
            <w:pPr>
              <w:spacing w:line="360" w:lineRule="auto"/>
              <w:jc w:val="left"/>
              <w:rPr>
                <w:rFonts w:asci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包括但不限于基础工程、生产厂房、办公生活区、道路工程、管道工程、机电安装工程、装修装饰工程、绿化工程等</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1.3.2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计划工期</w:t>
            </w:r>
          </w:p>
        </w:tc>
        <w:tc>
          <w:tcPr>
            <w:tcW w:w="3261" w:type="pct"/>
            <w:shd w:val="clear" w:color="000000" w:fill="auto"/>
            <w:noWrap w:val="0"/>
            <w:vAlign w:val="center"/>
          </w:tcPr>
          <w:p>
            <w:pPr>
              <w:spacing w:line="360" w:lineRule="auto"/>
              <w:jc w:val="left"/>
              <w:rPr>
                <w:rFonts w:ascii="宋体"/>
                <w:szCs w:val="21"/>
                <w:highlight w:val="none"/>
              </w:rPr>
            </w:pPr>
            <w:r>
              <w:rPr>
                <w:rFonts w:hint="eastAsia" w:ascii="宋体" w:hAnsi="宋体"/>
                <w:szCs w:val="21"/>
                <w:highlight w:val="none"/>
              </w:rPr>
              <w:t>计划工期：</w:t>
            </w:r>
            <w:r>
              <w:rPr>
                <w:rFonts w:ascii="宋体" w:hAnsi="宋体"/>
                <w:szCs w:val="21"/>
                <w:highlight w:val="none"/>
                <w:u w:val="single"/>
              </w:rPr>
              <w:t xml:space="preserve"> </w:t>
            </w:r>
            <w:r>
              <w:rPr>
                <w:rFonts w:hint="eastAsia" w:ascii="宋体" w:hAnsi="宋体"/>
                <w:szCs w:val="21"/>
                <w:highlight w:val="none"/>
                <w:u w:val="single"/>
                <w:lang w:val="en-US" w:eastAsia="zh-CN"/>
              </w:rPr>
              <w:t>365</w:t>
            </w:r>
            <w:r>
              <w:rPr>
                <w:rFonts w:ascii="宋体" w:hAnsi="宋体"/>
                <w:szCs w:val="21"/>
                <w:highlight w:val="none"/>
                <w:u w:val="single"/>
              </w:rPr>
              <w:t xml:space="preserve"> </w:t>
            </w:r>
            <w:r>
              <w:rPr>
                <w:rFonts w:hint="eastAsia" w:ascii="宋体" w:hAnsi="宋体"/>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1.4.1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投标人资质条件、能力和信誉</w:t>
            </w:r>
          </w:p>
        </w:tc>
        <w:tc>
          <w:tcPr>
            <w:tcW w:w="3261" w:type="pct"/>
            <w:shd w:val="clear" w:color="000000" w:fill="auto"/>
            <w:noWrap w:val="0"/>
            <w:vAlign w:val="center"/>
          </w:tcPr>
          <w:p>
            <w:pPr>
              <w:spacing w:line="360" w:lineRule="auto"/>
              <w:ind w:left="525" w:hanging="525" w:hangingChars="250"/>
              <w:jc w:val="left"/>
              <w:rPr>
                <w:rFonts w:ascii="宋体"/>
                <w:szCs w:val="21"/>
                <w:highlight w:val="none"/>
              </w:rPr>
            </w:pPr>
            <w:r>
              <w:rPr>
                <w:rFonts w:ascii="宋体" w:hAnsi="宋体"/>
                <w:szCs w:val="21"/>
                <w:highlight w:val="none"/>
              </w:rPr>
              <w:t>1</w:t>
            </w:r>
            <w:r>
              <w:rPr>
                <w:rFonts w:hint="eastAsia" w:ascii="宋体" w:hAnsi="宋体"/>
                <w:szCs w:val="21"/>
                <w:highlight w:val="none"/>
              </w:rPr>
              <w:t>、资质等级要求：</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ascii="宋体"/>
                <w:szCs w:val="21"/>
                <w:highlight w:val="none"/>
              </w:rPr>
            </w:pPr>
            <w:r>
              <w:rPr>
                <w:rFonts w:hint="eastAsia" w:ascii="宋体" w:hAnsi="宋体"/>
                <w:szCs w:val="21"/>
                <w:highlight w:val="none"/>
              </w:rPr>
              <w:t>投标人须具有独立法人资格，且具有</w:t>
            </w:r>
            <w:r>
              <w:rPr>
                <w:rFonts w:ascii="宋体" w:hAnsi="宋体"/>
                <w:szCs w:val="21"/>
                <w:highlight w:val="none"/>
                <w:u w:val="single"/>
              </w:rPr>
              <w:t xml:space="preserve"> </w:t>
            </w:r>
            <w:r>
              <w:rPr>
                <w:rFonts w:hint="eastAsia" w:ascii="宋体" w:hAnsi="宋体"/>
                <w:b/>
                <w:bCs/>
                <w:szCs w:val="21"/>
                <w:highlight w:val="none"/>
                <w:u w:val="single"/>
                <w:lang w:val="en-US" w:eastAsia="zh-CN"/>
              </w:rPr>
              <w:t>工程监理综合资质或房屋建筑工程甲级监理</w:t>
            </w:r>
            <w:r>
              <w:rPr>
                <w:rFonts w:ascii="宋体" w:hAnsi="宋体"/>
                <w:szCs w:val="21"/>
                <w:highlight w:val="none"/>
                <w:u w:val="single"/>
              </w:rPr>
              <w:t xml:space="preserve"> </w:t>
            </w:r>
            <w:r>
              <w:rPr>
                <w:rFonts w:hint="eastAsia" w:ascii="宋体" w:hAnsi="宋体"/>
                <w:szCs w:val="21"/>
                <w:highlight w:val="none"/>
              </w:rPr>
              <w:t>资质。</w:t>
            </w:r>
          </w:p>
          <w:p>
            <w:pPr>
              <w:spacing w:line="360" w:lineRule="auto"/>
              <w:jc w:val="left"/>
              <w:rPr>
                <w:rFonts w:ascii="宋体"/>
                <w:szCs w:val="21"/>
                <w:highlight w:val="none"/>
              </w:rPr>
            </w:pPr>
            <w:r>
              <w:rPr>
                <w:rFonts w:ascii="宋体" w:hAnsi="宋体"/>
                <w:szCs w:val="21"/>
                <w:highlight w:val="none"/>
              </w:rPr>
              <w:t>2</w:t>
            </w:r>
            <w:r>
              <w:rPr>
                <w:rFonts w:hint="eastAsia" w:ascii="宋体" w:hAnsi="宋体"/>
                <w:szCs w:val="21"/>
                <w:highlight w:val="none"/>
              </w:rPr>
              <w:t>、财务要求：</w:t>
            </w:r>
          </w:p>
          <w:p>
            <w:pPr>
              <w:spacing w:line="360" w:lineRule="auto"/>
              <w:jc w:val="left"/>
              <w:rPr>
                <w:rFonts w:ascii="宋体"/>
                <w:szCs w:val="21"/>
                <w:highlight w:val="none"/>
              </w:rPr>
            </w:pPr>
            <w:r>
              <w:rPr>
                <w:rFonts w:hint="eastAsia" w:ascii="宋体" w:hAnsi="宋体"/>
                <w:szCs w:val="21"/>
                <w:highlight w:val="none"/>
              </w:rPr>
              <w:t>近</w:t>
            </w:r>
            <w:r>
              <w:rPr>
                <w:rFonts w:hint="eastAsia" w:ascii="宋体" w:hAnsi="宋体"/>
                <w:szCs w:val="21"/>
                <w:highlight w:val="none"/>
                <w:lang w:val="en-US" w:eastAsia="zh-CN"/>
              </w:rPr>
              <w:t>3</w:t>
            </w:r>
            <w:r>
              <w:rPr>
                <w:rFonts w:hint="eastAsia" w:ascii="宋体" w:hAnsi="宋体"/>
                <w:szCs w:val="21"/>
                <w:highlight w:val="none"/>
              </w:rPr>
              <w:t>年（即</w:t>
            </w:r>
            <w:r>
              <w:rPr>
                <w:rFonts w:ascii="宋体" w:hAnsi="宋体"/>
                <w:szCs w:val="21"/>
                <w:highlight w:val="none"/>
                <w:u w:val="single"/>
              </w:rPr>
              <w:t xml:space="preserve"> </w:t>
            </w:r>
            <w:r>
              <w:rPr>
                <w:rFonts w:hint="eastAsia" w:ascii="宋体" w:hAnsi="宋体"/>
                <w:szCs w:val="21"/>
                <w:highlight w:val="none"/>
                <w:u w:val="single"/>
                <w:lang w:val="en-US" w:eastAsia="zh-CN"/>
              </w:rPr>
              <w:t>2018</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lang w:val="en-US" w:eastAsia="zh-CN"/>
              </w:rPr>
              <w:t>2020</w:t>
            </w:r>
            <w:r>
              <w:rPr>
                <w:rFonts w:ascii="宋体" w:hAnsi="宋体"/>
                <w:szCs w:val="21"/>
                <w:highlight w:val="none"/>
                <w:u w:val="single"/>
              </w:rPr>
              <w:t xml:space="preserve"> </w:t>
            </w:r>
            <w:r>
              <w:rPr>
                <w:rFonts w:hint="eastAsia" w:ascii="宋体" w:hAnsi="宋体"/>
                <w:szCs w:val="21"/>
                <w:highlight w:val="none"/>
              </w:rPr>
              <w:t>年），无亏损，以专业审计机构审计的财务报表为准。</w:t>
            </w:r>
          </w:p>
          <w:p>
            <w:pPr>
              <w:spacing w:line="360" w:lineRule="auto"/>
              <w:jc w:val="left"/>
              <w:rPr>
                <w:rFonts w:ascii="宋体"/>
                <w:szCs w:val="21"/>
                <w:highlight w:val="none"/>
              </w:rPr>
            </w:pPr>
            <w:r>
              <w:rPr>
                <w:rFonts w:ascii="宋体" w:hAnsi="宋体"/>
                <w:szCs w:val="21"/>
                <w:highlight w:val="none"/>
              </w:rPr>
              <w:t>3</w:t>
            </w:r>
            <w:r>
              <w:rPr>
                <w:rFonts w:hint="eastAsia" w:ascii="宋体" w:hAnsi="宋体"/>
                <w:szCs w:val="21"/>
                <w:highlight w:val="none"/>
              </w:rPr>
              <w:t>、业绩要求：</w:t>
            </w:r>
          </w:p>
          <w:p>
            <w:pPr>
              <w:spacing w:line="360" w:lineRule="auto"/>
              <w:contextualSpacing/>
              <w:jc w:val="left"/>
              <w:rPr>
                <w:rFonts w:ascii="宋体"/>
                <w:szCs w:val="21"/>
                <w:highlight w:val="none"/>
                <w:u w:val="double"/>
              </w:rPr>
            </w:pPr>
            <w:r>
              <w:rPr>
                <w:rFonts w:hint="eastAsia" w:ascii="宋体" w:hAnsi="宋体"/>
                <w:b/>
                <w:bCs/>
                <w:szCs w:val="21"/>
                <w:highlight w:val="none"/>
                <w:u w:val="double"/>
              </w:rPr>
              <w:t>近</w:t>
            </w:r>
            <w:r>
              <w:rPr>
                <w:rFonts w:ascii="宋体" w:hAnsi="宋体"/>
                <w:b/>
                <w:bCs/>
                <w:szCs w:val="21"/>
                <w:highlight w:val="none"/>
                <w:u w:val="double"/>
              </w:rPr>
              <w:t xml:space="preserve"> </w:t>
            </w:r>
            <w:r>
              <w:rPr>
                <w:rFonts w:hint="eastAsia" w:ascii="宋体" w:hAnsi="宋体"/>
                <w:b/>
                <w:bCs/>
                <w:szCs w:val="21"/>
                <w:highlight w:val="none"/>
                <w:u w:val="double"/>
                <w:lang w:val="en-US" w:eastAsia="zh-CN"/>
              </w:rPr>
              <w:t>5</w:t>
            </w:r>
            <w:r>
              <w:rPr>
                <w:rFonts w:ascii="宋体" w:hAnsi="宋体"/>
                <w:b/>
                <w:bCs/>
                <w:szCs w:val="21"/>
                <w:highlight w:val="none"/>
                <w:u w:val="double"/>
              </w:rPr>
              <w:t xml:space="preserve"> </w:t>
            </w:r>
            <w:r>
              <w:rPr>
                <w:rFonts w:hint="eastAsia" w:ascii="宋体" w:hAnsi="宋体"/>
                <w:b/>
                <w:bCs/>
                <w:szCs w:val="21"/>
                <w:highlight w:val="none"/>
                <w:u w:val="double"/>
              </w:rPr>
              <w:t>年，即</w:t>
            </w:r>
            <w:r>
              <w:rPr>
                <w:rFonts w:ascii="宋体" w:hAnsi="宋体"/>
                <w:b/>
                <w:bCs/>
                <w:szCs w:val="21"/>
                <w:highlight w:val="none"/>
                <w:u w:val="double"/>
              </w:rPr>
              <w:t xml:space="preserve"> </w:t>
            </w:r>
            <w:r>
              <w:rPr>
                <w:rFonts w:hint="eastAsia" w:ascii="宋体" w:hAnsi="宋体"/>
                <w:b/>
                <w:bCs/>
                <w:szCs w:val="21"/>
                <w:highlight w:val="none"/>
                <w:u w:val="double"/>
                <w:lang w:val="en-US" w:eastAsia="zh-CN"/>
              </w:rPr>
              <w:t>2016</w:t>
            </w:r>
            <w:r>
              <w:rPr>
                <w:rFonts w:ascii="宋体" w:hAnsi="宋体"/>
                <w:b/>
                <w:bCs/>
                <w:szCs w:val="21"/>
                <w:highlight w:val="none"/>
                <w:u w:val="double"/>
              </w:rPr>
              <w:t xml:space="preserve"> </w:t>
            </w:r>
            <w:r>
              <w:rPr>
                <w:rFonts w:hint="eastAsia" w:ascii="宋体" w:hAnsi="宋体"/>
                <w:b/>
                <w:bCs/>
                <w:szCs w:val="21"/>
                <w:highlight w:val="none"/>
                <w:u w:val="double"/>
              </w:rPr>
              <w:t>年至</w:t>
            </w:r>
            <w:r>
              <w:rPr>
                <w:rFonts w:ascii="宋体" w:hAnsi="宋体"/>
                <w:b/>
                <w:bCs/>
                <w:szCs w:val="21"/>
                <w:highlight w:val="none"/>
                <w:u w:val="double"/>
              </w:rPr>
              <w:t xml:space="preserve"> </w:t>
            </w:r>
            <w:r>
              <w:rPr>
                <w:rFonts w:hint="eastAsia" w:ascii="宋体" w:hAnsi="宋体"/>
                <w:b/>
                <w:bCs/>
                <w:szCs w:val="21"/>
                <w:highlight w:val="none"/>
                <w:u w:val="double"/>
                <w:lang w:val="en-US" w:eastAsia="zh-CN"/>
              </w:rPr>
              <w:t>2021</w:t>
            </w:r>
            <w:r>
              <w:rPr>
                <w:rFonts w:ascii="宋体" w:hAnsi="宋体"/>
                <w:b/>
                <w:bCs/>
                <w:szCs w:val="21"/>
                <w:highlight w:val="none"/>
                <w:u w:val="double"/>
              </w:rPr>
              <w:t xml:space="preserve"> </w:t>
            </w:r>
            <w:r>
              <w:rPr>
                <w:rFonts w:hint="eastAsia" w:ascii="宋体" w:hAnsi="宋体"/>
                <w:b/>
                <w:bCs/>
                <w:szCs w:val="21"/>
                <w:highlight w:val="none"/>
                <w:u w:val="double"/>
              </w:rPr>
              <w:t>年，不少于</w:t>
            </w:r>
            <w:r>
              <w:rPr>
                <w:rFonts w:ascii="宋体" w:hAnsi="宋体"/>
                <w:b/>
                <w:bCs/>
                <w:color w:val="auto"/>
                <w:szCs w:val="21"/>
                <w:highlight w:val="none"/>
                <w:u w:val="double"/>
                <w:shd w:val="clear"/>
              </w:rPr>
              <w:t xml:space="preserve"> </w:t>
            </w:r>
            <w:r>
              <w:rPr>
                <w:rFonts w:hint="eastAsia" w:ascii="宋体" w:hAnsi="宋体"/>
                <w:b/>
                <w:bCs/>
                <w:color w:val="auto"/>
                <w:szCs w:val="21"/>
                <w:highlight w:val="none"/>
                <w:u w:val="double"/>
                <w:shd w:val="clear"/>
                <w:lang w:val="en-US" w:eastAsia="zh-CN"/>
              </w:rPr>
              <w:t>2</w:t>
            </w:r>
            <w:r>
              <w:rPr>
                <w:rFonts w:ascii="宋体" w:hAnsi="宋体"/>
                <w:b/>
                <w:bCs/>
                <w:color w:val="auto"/>
                <w:szCs w:val="21"/>
                <w:highlight w:val="none"/>
                <w:u w:val="double"/>
                <w:shd w:val="clear"/>
              </w:rPr>
              <w:t xml:space="preserve"> </w:t>
            </w:r>
            <w:r>
              <w:rPr>
                <w:rFonts w:hint="eastAsia" w:ascii="宋体" w:hAnsi="宋体"/>
                <w:b/>
                <w:bCs/>
                <w:szCs w:val="21"/>
                <w:highlight w:val="none"/>
                <w:u w:val="double"/>
                <w:lang w:val="en-US" w:eastAsia="zh-CN"/>
              </w:rPr>
              <w:t>个</w:t>
            </w:r>
            <w:r>
              <w:rPr>
                <w:rFonts w:hint="eastAsia" w:ascii="宋体" w:hAnsi="宋体"/>
                <w:b/>
                <w:bCs/>
                <w:szCs w:val="21"/>
                <w:highlight w:val="none"/>
                <w:u w:val="double"/>
              </w:rPr>
              <w:t>类似项目。</w:t>
            </w:r>
          </w:p>
          <w:p>
            <w:pPr>
              <w:spacing w:line="360" w:lineRule="auto"/>
              <w:jc w:val="left"/>
              <w:rPr>
                <w:rFonts w:ascii="宋体"/>
                <w:szCs w:val="21"/>
                <w:highlight w:val="none"/>
              </w:rPr>
            </w:pPr>
            <w:r>
              <w:rPr>
                <w:rFonts w:hint="eastAsia" w:ascii="宋体" w:hAnsi="宋体"/>
                <w:szCs w:val="21"/>
                <w:highlight w:val="none"/>
              </w:rPr>
              <w:t>注：类似项目是指：</w:t>
            </w:r>
            <w:r>
              <w:rPr>
                <w:rFonts w:ascii="宋体" w:hAnsi="宋体"/>
                <w:szCs w:val="21"/>
                <w:highlight w:val="none"/>
                <w:u w:val="single"/>
              </w:rPr>
              <w:t xml:space="preserve"> </w:t>
            </w:r>
            <w:r>
              <w:rPr>
                <w:rFonts w:hint="eastAsia" w:ascii="宋体" w:hAnsi="宋体"/>
                <w:szCs w:val="21"/>
                <w:highlight w:val="none"/>
                <w:u w:val="single"/>
                <w:lang w:val="en-US" w:eastAsia="zh-CN"/>
              </w:rPr>
              <w:t>在建或完工房屋建筑项目（包括工业建筑工程、公共建筑工程等）</w:t>
            </w:r>
            <w:r>
              <w:rPr>
                <w:rFonts w:ascii="宋体" w:hAnsi="宋体"/>
                <w:szCs w:val="21"/>
                <w:highlight w:val="none"/>
                <w:u w:val="single"/>
              </w:rPr>
              <w:t xml:space="preserve"> </w:t>
            </w:r>
            <w:r>
              <w:rPr>
                <w:rFonts w:hint="eastAsia" w:ascii="宋体" w:hAnsi="宋体"/>
                <w:szCs w:val="21"/>
                <w:highlight w:val="none"/>
              </w:rPr>
              <w:t>需提供中标通知书、合同扫描件</w:t>
            </w:r>
          </w:p>
          <w:p>
            <w:pPr>
              <w:spacing w:line="360" w:lineRule="auto"/>
              <w:jc w:val="left"/>
              <w:rPr>
                <w:rFonts w:ascii="宋体"/>
                <w:szCs w:val="21"/>
                <w:highlight w:val="none"/>
              </w:rPr>
            </w:pPr>
            <w:r>
              <w:rPr>
                <w:rFonts w:ascii="宋体" w:hAnsi="宋体"/>
                <w:szCs w:val="21"/>
                <w:highlight w:val="none"/>
              </w:rPr>
              <w:t>4</w:t>
            </w:r>
            <w:r>
              <w:rPr>
                <w:rFonts w:hint="eastAsia" w:ascii="宋体" w:hAnsi="宋体"/>
                <w:szCs w:val="21"/>
                <w:highlight w:val="none"/>
              </w:rPr>
              <w:t>、信誉要求：</w:t>
            </w:r>
          </w:p>
          <w:p>
            <w:pPr>
              <w:spacing w:line="360" w:lineRule="auto"/>
              <w:jc w:val="left"/>
              <w:rPr>
                <w:rFonts w:ascii="宋体"/>
                <w:szCs w:val="21"/>
                <w:highlight w:val="none"/>
              </w:rPr>
            </w:pPr>
            <w:r>
              <w:rPr>
                <w:rFonts w:hint="eastAsia" w:ascii="宋体" w:hAnsi="宋体"/>
                <w:szCs w:val="21"/>
                <w:highlight w:val="none"/>
              </w:rPr>
              <w:t>没有处于投标禁入期内。</w:t>
            </w:r>
          </w:p>
          <w:p>
            <w:pPr>
              <w:spacing w:line="360" w:lineRule="auto"/>
              <w:jc w:val="left"/>
              <w:rPr>
                <w:rFonts w:ascii="宋体"/>
                <w:szCs w:val="21"/>
                <w:highlight w:val="none"/>
              </w:rPr>
            </w:pPr>
            <w:r>
              <w:rPr>
                <w:rFonts w:ascii="宋体" w:hAnsi="宋体"/>
                <w:szCs w:val="21"/>
                <w:highlight w:val="none"/>
              </w:rPr>
              <w:t>5</w:t>
            </w:r>
            <w:r>
              <w:rPr>
                <w:rFonts w:hint="eastAsia" w:ascii="宋体" w:hAnsi="宋体"/>
                <w:szCs w:val="21"/>
                <w:highlight w:val="none"/>
              </w:rPr>
              <w:t>、项目总监人员资格要求：</w:t>
            </w:r>
          </w:p>
          <w:p>
            <w:pPr>
              <w:spacing w:line="360" w:lineRule="auto"/>
              <w:jc w:val="left"/>
              <w:rPr>
                <w:rFonts w:asci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房屋建筑工程</w:t>
            </w:r>
            <w:r>
              <w:rPr>
                <w:rFonts w:ascii="宋体" w:hAnsi="宋体"/>
                <w:szCs w:val="21"/>
                <w:highlight w:val="none"/>
                <w:u w:val="single"/>
              </w:rPr>
              <w:t xml:space="preserve"> </w:t>
            </w:r>
            <w:r>
              <w:rPr>
                <w:rFonts w:hint="eastAsia" w:ascii="宋体" w:hAnsi="宋体"/>
                <w:szCs w:val="21"/>
                <w:highlight w:val="none"/>
                <w:u w:val="single"/>
              </w:rPr>
              <w:t>专业，国家注册监理工程师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1.4.2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是否接受联合体投标</w:t>
            </w:r>
          </w:p>
        </w:tc>
        <w:tc>
          <w:tcPr>
            <w:tcW w:w="3261" w:type="pct"/>
            <w:shd w:val="clear" w:color="000000" w:fill="auto"/>
            <w:noWrap w:val="0"/>
            <w:vAlign w:val="center"/>
          </w:tcPr>
          <w:p>
            <w:pPr>
              <w:spacing w:line="360" w:lineRule="auto"/>
              <w:jc w:val="left"/>
              <w:rPr>
                <w:rFonts w:ascii="宋体"/>
                <w:szCs w:val="21"/>
                <w:highlight w:val="none"/>
              </w:rPr>
            </w:pPr>
            <w:r>
              <w:rPr>
                <w:rFonts w:hint="eastAsia" w:ascii="宋体" w:hAnsi="宋体"/>
                <w:szCs w:val="21"/>
                <w:highlight w:val="none"/>
              </w:rPr>
              <w:sym w:font="Wingdings 2" w:char="0052"/>
            </w:r>
            <w:r>
              <w:rPr>
                <w:rFonts w:hint="eastAsia" w:ascii="宋体" w:hAnsi="宋体"/>
                <w:szCs w:val="21"/>
                <w:highlight w:val="none"/>
              </w:rPr>
              <w:t>不接受</w:t>
            </w:r>
          </w:p>
          <w:p>
            <w:pPr>
              <w:spacing w:line="360" w:lineRule="auto"/>
              <w:jc w:val="left"/>
              <w:rPr>
                <w:rFonts w:ascii="宋体"/>
                <w:szCs w:val="21"/>
                <w:highlight w:val="none"/>
              </w:rPr>
            </w:pPr>
            <w:r>
              <w:rPr>
                <w:rFonts w:hint="eastAsia" w:ascii="宋体" w:hAnsi="宋体"/>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hAnsi="宋体"/>
                <w:szCs w:val="21"/>
                <w:highlight w:val="none"/>
              </w:rPr>
            </w:pPr>
            <w:r>
              <w:rPr>
                <w:rFonts w:ascii="宋体" w:hAnsi="宋体"/>
                <w:szCs w:val="21"/>
                <w:highlight w:val="none"/>
              </w:rPr>
              <w:t>1.4.3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限制投标的情形</w:t>
            </w:r>
          </w:p>
        </w:tc>
        <w:tc>
          <w:tcPr>
            <w:tcW w:w="3261" w:type="pct"/>
            <w:shd w:val="clear" w:color="000000" w:fill="auto"/>
            <w:noWrap w:val="0"/>
            <w:vAlign w:val="top"/>
          </w:tcPr>
          <w:p>
            <w:pPr>
              <w:spacing w:line="360" w:lineRule="auto"/>
              <w:jc w:val="left"/>
              <w:rPr>
                <w:rFonts w:ascii="宋体"/>
                <w:szCs w:val="21"/>
                <w:highlight w:val="none"/>
              </w:rPr>
            </w:pPr>
            <w:r>
              <w:rPr>
                <w:rFonts w:hint="eastAsia" w:ascii="宋体" w:hAnsi="宋体"/>
                <w:szCs w:val="21"/>
                <w:highlight w:val="none"/>
              </w:rPr>
              <w:t>除投标人不得存在的</w:t>
            </w:r>
            <w:r>
              <w:rPr>
                <w:rFonts w:ascii="宋体" w:hAnsi="宋体"/>
                <w:szCs w:val="21"/>
                <w:highlight w:val="none"/>
              </w:rPr>
              <w:t>12</w:t>
            </w:r>
            <w:r>
              <w:rPr>
                <w:rFonts w:hint="eastAsia" w:ascii="宋体" w:hAnsi="宋体"/>
                <w:szCs w:val="21"/>
                <w:highlight w:val="none"/>
              </w:rPr>
              <w:t>种情形之一外，投标人也不得存在下列情形之一：</w:t>
            </w:r>
          </w:p>
          <w:p>
            <w:pPr>
              <w:spacing w:line="360" w:lineRule="auto"/>
              <w:jc w:val="left"/>
              <w:rPr>
                <w:rFonts w:ascii="宋体"/>
                <w:szCs w:val="21"/>
                <w:highlight w:val="none"/>
              </w:rPr>
            </w:pPr>
            <w:r>
              <w:rPr>
                <w:rFonts w:ascii="宋体" w:hAnsi="宋体"/>
                <w:szCs w:val="21"/>
                <w:highlight w:val="none"/>
              </w:rPr>
              <w:t>(13)</w:t>
            </w:r>
            <w:r>
              <w:rPr>
                <w:rFonts w:hint="eastAsia" w:ascii="宋体" w:hAnsi="宋体"/>
                <w:szCs w:val="21"/>
                <w:highlight w:val="none"/>
              </w:rPr>
              <w:t>四川省国家投资建设项目的第一中标候选人以资金、技术、工期等非正当理由放弃中标的，在</w:t>
            </w:r>
            <w:r>
              <w:rPr>
                <w:rFonts w:ascii="宋体" w:hAnsi="宋体"/>
                <w:szCs w:val="21"/>
                <w:highlight w:val="none"/>
                <w:u w:val="single"/>
              </w:rPr>
              <w:t xml:space="preserve"> </w:t>
            </w:r>
            <w:r>
              <w:rPr>
                <w:rFonts w:hint="eastAsia" w:ascii="宋体" w:hAnsi="宋体"/>
                <w:szCs w:val="21"/>
                <w:highlight w:val="none"/>
                <w:u w:val="single"/>
                <w:lang w:val="en-US" w:eastAsia="zh-CN"/>
              </w:rPr>
              <w:t>3</w:t>
            </w:r>
            <w:r>
              <w:rPr>
                <w:rFonts w:ascii="宋体" w:hAnsi="宋体"/>
                <w:szCs w:val="21"/>
                <w:highlight w:val="none"/>
                <w:u w:val="single"/>
              </w:rPr>
              <w:t xml:space="preserve"> </w:t>
            </w:r>
            <w:r>
              <w:rPr>
                <w:rFonts w:hint="eastAsia" w:ascii="宋体" w:hAnsi="宋体"/>
                <w:szCs w:val="21"/>
                <w:highlight w:val="none"/>
              </w:rPr>
              <w:t>年内不接受其投标；</w:t>
            </w:r>
          </w:p>
          <w:p>
            <w:pPr>
              <w:spacing w:line="360" w:lineRule="auto"/>
              <w:jc w:val="left"/>
              <w:rPr>
                <w:rFonts w:ascii="宋体"/>
                <w:szCs w:val="21"/>
                <w:highlight w:val="none"/>
              </w:rPr>
            </w:pPr>
            <w:r>
              <w:rPr>
                <w:rFonts w:ascii="宋体" w:hAnsi="宋体"/>
                <w:szCs w:val="21"/>
                <w:highlight w:val="none"/>
              </w:rPr>
              <w:t>(14)</w:t>
            </w:r>
            <w:r>
              <w:rPr>
                <w:rFonts w:hint="eastAsia" w:ascii="宋体" w:hAnsi="宋体"/>
                <w:szCs w:val="21"/>
                <w:highlight w:val="none"/>
              </w:rPr>
              <w:t>因招投标或重大质量安全违法违规的企业和个人被有关行政主管部门行政处罚的，在</w:t>
            </w:r>
            <w:r>
              <w:rPr>
                <w:rFonts w:ascii="宋体" w:hAnsi="宋体"/>
                <w:szCs w:val="21"/>
                <w:highlight w:val="none"/>
                <w:u w:val="single"/>
              </w:rPr>
              <w:t xml:space="preserve"> </w:t>
            </w:r>
            <w:r>
              <w:rPr>
                <w:rFonts w:hint="eastAsia" w:ascii="宋体" w:hAnsi="宋体"/>
                <w:szCs w:val="21"/>
                <w:highlight w:val="none"/>
                <w:u w:val="single"/>
                <w:lang w:val="en-US" w:eastAsia="zh-CN"/>
              </w:rPr>
              <w:t>5</w:t>
            </w:r>
            <w:r>
              <w:rPr>
                <w:rFonts w:ascii="宋体" w:hAnsi="宋体"/>
                <w:szCs w:val="21"/>
                <w:highlight w:val="none"/>
                <w:u w:val="single"/>
              </w:rPr>
              <w:t xml:space="preserve"> </w:t>
            </w:r>
            <w:r>
              <w:rPr>
                <w:rFonts w:hint="eastAsia" w:ascii="宋体" w:hAnsi="宋体"/>
                <w:szCs w:val="21"/>
                <w:highlight w:val="none"/>
              </w:rPr>
              <w:t>年内不接受其投标；</w:t>
            </w:r>
          </w:p>
          <w:p>
            <w:pPr>
              <w:spacing w:line="360" w:lineRule="auto"/>
              <w:jc w:val="left"/>
              <w:rPr>
                <w:rFonts w:ascii="宋体"/>
                <w:szCs w:val="21"/>
                <w:highlight w:val="none"/>
              </w:rPr>
            </w:pPr>
            <w:r>
              <w:rPr>
                <w:rFonts w:ascii="宋体" w:hAnsi="宋体"/>
                <w:szCs w:val="21"/>
                <w:highlight w:val="none"/>
              </w:rPr>
              <w:t>(15)</w:t>
            </w:r>
            <w:r>
              <w:rPr>
                <w:rFonts w:hint="eastAsia" w:ascii="宋体" w:hAnsi="宋体"/>
                <w:szCs w:val="21"/>
                <w:highlight w:val="none"/>
              </w:rPr>
              <w:t>近半年内在所有招投标和合同履行过程中因招投标或重大安全质量违法违规被监督部门行政处罚的；</w:t>
            </w:r>
          </w:p>
          <w:p>
            <w:pPr>
              <w:spacing w:line="360" w:lineRule="auto"/>
              <w:jc w:val="left"/>
              <w:rPr>
                <w:rFonts w:ascii="宋体"/>
                <w:szCs w:val="21"/>
                <w:highlight w:val="none"/>
              </w:rPr>
            </w:pPr>
            <w:r>
              <w:rPr>
                <w:rFonts w:ascii="宋体" w:hAnsi="宋体"/>
                <w:szCs w:val="21"/>
                <w:highlight w:val="none"/>
              </w:rPr>
              <w:t>(16)</w:t>
            </w:r>
            <w:r>
              <w:rPr>
                <w:rFonts w:hint="eastAsia" w:ascii="宋体" w:hAnsi="宋体"/>
                <w:szCs w:val="21"/>
                <w:highlight w:val="none"/>
              </w:rPr>
              <w:t>近</w:t>
            </w:r>
            <w:r>
              <w:rPr>
                <w:rFonts w:ascii="宋体" w:hAnsi="宋体"/>
                <w:szCs w:val="21"/>
                <w:highlight w:val="none"/>
              </w:rPr>
              <w:t>3</w:t>
            </w:r>
            <w:r>
              <w:rPr>
                <w:rFonts w:hint="eastAsia" w:ascii="宋体" w:hAnsi="宋体"/>
                <w:szCs w:val="21"/>
                <w:highlight w:val="none"/>
              </w:rPr>
              <w:t>年内在招投标和合同履行过程中有腐败行为并被司法机关认定为犯罪的；</w:t>
            </w:r>
          </w:p>
          <w:p>
            <w:pPr>
              <w:spacing w:line="360" w:lineRule="auto"/>
              <w:jc w:val="left"/>
              <w:rPr>
                <w:rFonts w:hint="eastAsia" w:ascii="宋体" w:hAnsi="宋体" w:eastAsia="宋体" w:cs="Times New Roman"/>
                <w:szCs w:val="21"/>
                <w:highlight w:val="none"/>
              </w:rPr>
            </w:pPr>
            <w:r>
              <w:rPr>
                <w:rFonts w:ascii="宋体" w:hAnsi="宋体"/>
                <w:szCs w:val="21"/>
                <w:highlight w:val="none"/>
              </w:rPr>
              <w:t>(17)</w:t>
            </w:r>
            <w:r>
              <w:rPr>
                <w:rFonts w:hint="eastAsia" w:ascii="宋体" w:hAnsi="宋体"/>
                <w:szCs w:val="21"/>
                <w:highlight w:val="none"/>
              </w:rPr>
              <w:t>近</w:t>
            </w:r>
            <w:r>
              <w:rPr>
                <w:rFonts w:ascii="宋体" w:hAnsi="宋体"/>
                <w:szCs w:val="21"/>
                <w:highlight w:val="none"/>
              </w:rPr>
              <w:t>3</w:t>
            </w:r>
            <w:r>
              <w:rPr>
                <w:rFonts w:hint="eastAsia" w:ascii="宋体" w:hAnsi="宋体"/>
                <w:szCs w:val="21"/>
                <w:highlight w:val="none"/>
              </w:rPr>
              <w:t>年内，在招标人（包括与本项目招标人有股权或隶属关系的招标人）的既往项目合同履行过程中，被监督部门或司法机关认定投标人不履行合同、项目负责人或主要技术负责人被招标人撤换的；</w:t>
            </w:r>
          </w:p>
          <w:p>
            <w:pPr>
              <w:spacing w:line="360" w:lineRule="auto"/>
              <w:jc w:val="left"/>
              <w:rPr>
                <w:rFonts w:hint="eastAsia" w:ascii="宋体" w:hAnsi="宋体" w:eastAsia="宋体" w:cs="Times New Roman"/>
                <w:b/>
                <w:bCs/>
                <w:szCs w:val="21"/>
                <w:highlight w:val="none"/>
                <w:lang w:val="en-US" w:eastAsia="zh-CN"/>
              </w:rPr>
            </w:pPr>
            <w:r>
              <w:rPr>
                <w:rFonts w:ascii="宋体" w:hAnsi="宋体"/>
                <w:b/>
                <w:bCs/>
                <w:szCs w:val="21"/>
                <w:highlight w:val="none"/>
              </w:rPr>
              <w:t>(18)</w:t>
            </w:r>
            <w:r>
              <w:rPr>
                <w:rFonts w:hint="eastAsia" w:ascii="宋体" w:hAnsi="宋体" w:eastAsia="宋体" w:cs="Times New Roman"/>
                <w:b/>
                <w:bCs/>
                <w:szCs w:val="21"/>
                <w:highlight w:val="none"/>
                <w:lang w:val="en-US" w:eastAsia="zh-CN"/>
              </w:rPr>
              <w:t>失信人查询</w:t>
            </w:r>
          </w:p>
          <w:p>
            <w:pPr>
              <w:spacing w:line="360" w:lineRule="auto"/>
              <w:ind w:firstLine="210" w:firstLineChars="100"/>
              <w:jc w:val="lef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在国家企业信用信息系统（http://www.gsxt.gov.cn/index.html）中被列为严重违法失信企业名单，不接受其投标。</w:t>
            </w:r>
          </w:p>
          <w:p>
            <w:pPr>
              <w:spacing w:line="360" w:lineRule="auto"/>
              <w:ind w:firstLine="210" w:firstLineChars="100"/>
              <w:jc w:val="lef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对通过“信用中国”网站（https://www.creditchina.gov.cn/）中查询为失信被执行人的投标人，不接受其投标。 </w:t>
            </w:r>
          </w:p>
          <w:p>
            <w:pPr>
              <w:spacing w:line="360" w:lineRule="auto"/>
              <w:jc w:val="left"/>
              <w:rPr>
                <w:rFonts w:ascii="宋体"/>
                <w:szCs w:val="21"/>
                <w:highlight w:val="none"/>
              </w:rPr>
            </w:pPr>
            <w:r>
              <w:rPr>
                <w:rFonts w:ascii="宋体" w:hAnsi="宋体"/>
                <w:szCs w:val="21"/>
                <w:highlight w:val="none"/>
              </w:rPr>
              <w:t>(1</w:t>
            </w:r>
            <w:r>
              <w:rPr>
                <w:rFonts w:hint="eastAsia" w:ascii="宋体" w:hAnsi="宋体"/>
                <w:szCs w:val="21"/>
                <w:highlight w:val="none"/>
                <w:lang w:val="en-US" w:eastAsia="zh-CN"/>
              </w:rPr>
              <w:t>9</w:t>
            </w:r>
            <w:r>
              <w:rPr>
                <w:rFonts w:ascii="宋体" w:hAnsi="宋体"/>
                <w:szCs w:val="21"/>
                <w:highlight w:val="none"/>
              </w:rPr>
              <w:t>)</w:t>
            </w:r>
            <w:r>
              <w:rPr>
                <w:rFonts w:hint="eastAsia" w:ascii="宋体" w:hAnsi="宋体"/>
                <w:szCs w:val="21"/>
                <w:highlight w:val="none"/>
              </w:rPr>
              <w:t>投标人与招标人相互参股或相互任职。</w:t>
            </w:r>
          </w:p>
          <w:p>
            <w:pPr>
              <w:spacing w:line="360" w:lineRule="auto"/>
              <w:ind w:firstLine="315" w:firstLineChars="150"/>
              <w:jc w:val="left"/>
              <w:rPr>
                <w:rFonts w:ascii="宋体"/>
                <w:szCs w:val="21"/>
                <w:highlight w:val="none"/>
              </w:rPr>
            </w:pPr>
            <w:r>
              <w:rPr>
                <w:rFonts w:hint="eastAsia" w:ascii="宋体" w:hAnsi="宋体"/>
                <w:szCs w:val="21"/>
                <w:highlight w:val="none"/>
              </w:rPr>
              <w:t>有下列情形之一，不得在同一项目（标段）中同时投标：</w:t>
            </w:r>
          </w:p>
          <w:p>
            <w:pPr>
              <w:spacing w:line="360" w:lineRule="auto"/>
              <w:ind w:firstLine="210" w:firstLineChars="100"/>
              <w:jc w:val="left"/>
              <w:rPr>
                <w:rFonts w:ascii="宋体"/>
                <w:szCs w:val="21"/>
                <w:highlight w:val="none"/>
              </w:rPr>
            </w:pPr>
            <w:r>
              <w:rPr>
                <w:rFonts w:ascii="宋体" w:hAnsi="宋体"/>
                <w:szCs w:val="21"/>
                <w:highlight w:val="none"/>
              </w:rPr>
              <w:t>1)</w:t>
            </w:r>
            <w:r>
              <w:rPr>
                <w:rFonts w:hint="eastAsia" w:ascii="宋体" w:hAnsi="宋体"/>
                <w:szCs w:val="21"/>
                <w:highlight w:val="none"/>
              </w:rPr>
              <w:t>法定代表人为同一人；</w:t>
            </w:r>
          </w:p>
          <w:p>
            <w:pPr>
              <w:spacing w:line="360" w:lineRule="auto"/>
              <w:ind w:firstLine="210" w:firstLineChars="100"/>
              <w:jc w:val="left"/>
              <w:rPr>
                <w:rFonts w:ascii="宋体"/>
                <w:szCs w:val="21"/>
                <w:highlight w:val="none"/>
              </w:rPr>
            </w:pPr>
            <w:r>
              <w:rPr>
                <w:rFonts w:ascii="宋体" w:hAnsi="宋体"/>
                <w:szCs w:val="21"/>
                <w:highlight w:val="none"/>
              </w:rPr>
              <w:t>2)</w:t>
            </w:r>
            <w:r>
              <w:rPr>
                <w:rFonts w:hint="eastAsia" w:ascii="宋体" w:hAnsi="宋体"/>
                <w:szCs w:val="21"/>
                <w:highlight w:val="none"/>
              </w:rPr>
              <w:t>母公司与其全资子公司；</w:t>
            </w:r>
          </w:p>
          <w:p>
            <w:pPr>
              <w:spacing w:line="360" w:lineRule="auto"/>
              <w:ind w:firstLine="210" w:firstLineChars="100"/>
              <w:jc w:val="left"/>
              <w:rPr>
                <w:rFonts w:ascii="宋体"/>
                <w:szCs w:val="21"/>
                <w:highlight w:val="none"/>
              </w:rPr>
            </w:pPr>
            <w:r>
              <w:rPr>
                <w:rFonts w:ascii="宋体" w:hAnsi="宋体"/>
                <w:szCs w:val="21"/>
                <w:highlight w:val="none"/>
              </w:rPr>
              <w:t>3)</w:t>
            </w:r>
            <w:r>
              <w:rPr>
                <w:rFonts w:hint="eastAsia" w:ascii="宋体" w:hAnsi="宋体"/>
                <w:szCs w:val="21"/>
                <w:highlight w:val="none"/>
              </w:rPr>
              <w:t>母公司与其控股公司（直接或间接持股不低于</w:t>
            </w:r>
            <w:r>
              <w:rPr>
                <w:rFonts w:ascii="宋体" w:hAnsi="宋体"/>
                <w:szCs w:val="21"/>
                <w:highlight w:val="none"/>
              </w:rPr>
              <w:t>30%</w:t>
            </w:r>
            <w:r>
              <w:rPr>
                <w:rFonts w:hint="eastAsia" w:ascii="宋体" w:hAnsi="宋体"/>
                <w:szCs w:val="21"/>
                <w:highlight w:val="none"/>
              </w:rPr>
              <w:t>）；</w:t>
            </w:r>
          </w:p>
          <w:p>
            <w:pPr>
              <w:spacing w:line="360" w:lineRule="auto"/>
              <w:ind w:firstLine="210" w:firstLineChars="100"/>
              <w:jc w:val="left"/>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被同一法人直接或间接持股不低于</w:t>
            </w:r>
            <w:r>
              <w:rPr>
                <w:rFonts w:ascii="宋体" w:hAnsi="宋体" w:eastAsia="宋体" w:cs="Times New Roman"/>
                <w:szCs w:val="21"/>
                <w:highlight w:val="none"/>
              </w:rPr>
              <w:t>30%</w:t>
            </w:r>
            <w:r>
              <w:rPr>
                <w:rFonts w:hint="eastAsia" w:ascii="宋体" w:hAnsi="宋体" w:eastAsia="宋体" w:cs="Times New Roman"/>
                <w:szCs w:val="21"/>
                <w:highlight w:val="none"/>
              </w:rPr>
              <w:t>的两个及两个以上法人；</w:t>
            </w:r>
          </w:p>
          <w:p>
            <w:pPr>
              <w:spacing w:line="360" w:lineRule="auto"/>
              <w:ind w:firstLine="210" w:firstLineChars="100"/>
              <w:jc w:val="left"/>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具有投资参股关系的关联企业；</w:t>
            </w:r>
          </w:p>
          <w:p>
            <w:pPr>
              <w:spacing w:line="360" w:lineRule="auto"/>
              <w:ind w:firstLine="210" w:firstLineChars="100"/>
              <w:jc w:val="left"/>
              <w:rPr>
                <w:rFonts w:ascii="宋体"/>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相互任职或工作的。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240" w:lineRule="auto"/>
              <w:jc w:val="center"/>
              <w:rPr>
                <w:rFonts w:ascii="宋体"/>
                <w:szCs w:val="21"/>
                <w:highlight w:val="none"/>
              </w:rPr>
            </w:pPr>
            <w:r>
              <w:rPr>
                <w:rFonts w:ascii="宋体" w:hAnsi="宋体"/>
                <w:szCs w:val="21"/>
                <w:highlight w:val="none"/>
              </w:rPr>
              <w:t>1.9</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踏勘现场</w:t>
            </w:r>
          </w:p>
        </w:tc>
        <w:tc>
          <w:tcPr>
            <w:tcW w:w="3261" w:type="pct"/>
            <w:shd w:val="clear" w:color="000000" w:fill="auto"/>
            <w:noWrap w:val="0"/>
            <w:vAlign w:val="center"/>
          </w:tcPr>
          <w:p>
            <w:pPr>
              <w:spacing w:before="120" w:beforeLines="50" w:line="360" w:lineRule="auto"/>
              <w:jc w:val="left"/>
              <w:rPr>
                <w:rFonts w:ascii="宋体"/>
                <w:szCs w:val="21"/>
                <w:highlight w:val="none"/>
              </w:rPr>
            </w:pPr>
            <w:r>
              <w:rPr>
                <w:rFonts w:hint="eastAsia" w:ascii="宋体" w:hAnsi="宋体"/>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shd w:val="clear" w:color="000000" w:fill="auto"/>
            <w:noWrap w:val="0"/>
            <w:vAlign w:val="center"/>
          </w:tcPr>
          <w:p>
            <w:pPr>
              <w:spacing w:line="240" w:lineRule="auto"/>
              <w:jc w:val="center"/>
              <w:rPr>
                <w:rFonts w:ascii="宋体"/>
                <w:szCs w:val="21"/>
                <w:highlight w:val="none"/>
              </w:rPr>
            </w:pPr>
            <w:r>
              <w:rPr>
                <w:rFonts w:ascii="宋体" w:hAnsi="宋体"/>
                <w:szCs w:val="21"/>
                <w:highlight w:val="none"/>
              </w:rPr>
              <w:t>1.10</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投标预备会</w:t>
            </w:r>
          </w:p>
        </w:tc>
        <w:tc>
          <w:tcPr>
            <w:tcW w:w="3261" w:type="pct"/>
            <w:shd w:val="clear" w:color="000000" w:fill="auto"/>
            <w:noWrap w:val="0"/>
            <w:vAlign w:val="center"/>
          </w:tcPr>
          <w:p>
            <w:pPr>
              <w:spacing w:before="120" w:beforeLines="50" w:line="360" w:lineRule="auto"/>
              <w:jc w:val="left"/>
              <w:rPr>
                <w:rFonts w:ascii="宋体"/>
                <w:szCs w:val="21"/>
                <w:highlight w:val="none"/>
              </w:rPr>
            </w:pPr>
            <w:r>
              <w:rPr>
                <w:rFonts w:hint="eastAsia" w:ascii="宋体" w:hAnsi="宋体"/>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2.1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构成招标文件的其他材料</w:t>
            </w:r>
          </w:p>
        </w:tc>
        <w:tc>
          <w:tcPr>
            <w:tcW w:w="3261" w:type="pct"/>
            <w:shd w:val="clear" w:color="000000" w:fill="auto"/>
            <w:noWrap w:val="0"/>
            <w:vAlign w:val="center"/>
          </w:tcPr>
          <w:p>
            <w:pPr>
              <w:spacing w:before="120" w:beforeLines="50" w:line="360" w:lineRule="auto"/>
              <w:jc w:val="left"/>
              <w:rPr>
                <w:rFonts w:ascii="宋体"/>
                <w:szCs w:val="21"/>
                <w:highlight w:val="none"/>
              </w:rPr>
            </w:pPr>
            <w:r>
              <w:rPr>
                <w:rFonts w:hint="eastAsia" w:hAnsi="宋体" w:cs="宋体"/>
                <w:highlight w:val="none"/>
              </w:rPr>
              <w:t>招标文件补遗书（如果有）、通知书（如果有）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2.2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招标人书面澄清的时间</w:t>
            </w:r>
          </w:p>
        </w:tc>
        <w:tc>
          <w:tcPr>
            <w:tcW w:w="3261" w:type="pct"/>
            <w:shd w:val="clear" w:color="000000" w:fill="auto"/>
            <w:noWrap w:val="0"/>
            <w:vAlign w:val="center"/>
          </w:tcPr>
          <w:p>
            <w:pPr>
              <w:spacing w:before="120" w:beforeLines="50" w:line="360" w:lineRule="auto"/>
              <w:jc w:val="left"/>
              <w:rPr>
                <w:rFonts w:ascii="宋体"/>
                <w:szCs w:val="21"/>
                <w:highlight w:val="none"/>
              </w:rPr>
            </w:pPr>
            <w:r>
              <w:rPr>
                <w:rFonts w:hint="eastAsia" w:ascii="宋体" w:hAnsi="宋体"/>
                <w:szCs w:val="21"/>
                <w:highlight w:val="none"/>
              </w:rPr>
              <w:t>递交投标文件截止时间</w:t>
            </w:r>
            <w:r>
              <w:rPr>
                <w:rFonts w:ascii="宋体" w:hAnsi="宋体"/>
                <w:szCs w:val="21"/>
                <w:highlight w:val="none"/>
              </w:rPr>
              <w:t>15</w:t>
            </w:r>
            <w:r>
              <w:rPr>
                <w:rFonts w:hint="eastAsia" w:ascii="宋体" w:hAnsi="宋体"/>
                <w:szCs w:val="21"/>
                <w:highlight w:val="none"/>
              </w:rPr>
              <w:t>天前</w:t>
            </w:r>
            <w:r>
              <w:rPr>
                <w:rFonts w:hint="eastAsia" w:ascii="宋体" w:hAnsi="宋体"/>
                <w:szCs w:val="21"/>
                <w:highlight w:val="none"/>
                <w:lang w:eastAsia="zh-CN"/>
              </w:rPr>
              <w:t>，</w:t>
            </w:r>
            <w:r>
              <w:rPr>
                <w:rFonts w:hint="eastAsia" w:ascii="宋体" w:hAnsi="宋体"/>
                <w:szCs w:val="21"/>
                <w:highlight w:val="none"/>
              </w:rPr>
              <w:t>由招标人通过</w:t>
            </w:r>
            <w:r>
              <w:rPr>
                <w:rFonts w:hint="eastAsia" w:ascii="宋体" w:hAnsi="宋体"/>
                <w:color w:val="auto"/>
                <w:szCs w:val="21"/>
                <w:highlight w:val="none"/>
              </w:rPr>
              <w:t>四川省交通建设集团股份有限公司（https://www.scjtgc.com/）</w:t>
            </w:r>
            <w:r>
              <w:rPr>
                <w:rFonts w:hint="eastAsia" w:ascii="宋体" w:hAnsi="宋体"/>
                <w:szCs w:val="21"/>
                <w:highlight w:val="none"/>
              </w:rPr>
              <w:t>向所有投标人澄清。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2.4</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投标人提出问题的截止时间</w:t>
            </w:r>
          </w:p>
        </w:tc>
        <w:tc>
          <w:tcPr>
            <w:tcW w:w="3261" w:type="pct"/>
            <w:shd w:val="clear" w:color="000000" w:fill="auto"/>
            <w:noWrap w:val="0"/>
            <w:vAlign w:val="center"/>
          </w:tcPr>
          <w:p>
            <w:pPr>
              <w:spacing w:before="120" w:beforeLines="50" w:line="360" w:lineRule="auto"/>
              <w:jc w:val="left"/>
              <w:rPr>
                <w:rFonts w:ascii="宋体"/>
                <w:szCs w:val="21"/>
                <w:highlight w:val="none"/>
              </w:rPr>
            </w:pPr>
            <w:r>
              <w:rPr>
                <w:rFonts w:hint="eastAsia" w:ascii="宋体" w:hAnsi="宋体"/>
                <w:szCs w:val="21"/>
                <w:highlight w:val="none"/>
              </w:rPr>
              <w:t>递交投标文件截止时间</w:t>
            </w:r>
            <w:r>
              <w:rPr>
                <w:rFonts w:ascii="宋体" w:hAnsi="宋体"/>
                <w:szCs w:val="21"/>
                <w:highlight w:val="none"/>
              </w:rPr>
              <w:t>16</w:t>
            </w:r>
            <w:r>
              <w:rPr>
                <w:rFonts w:hint="eastAsia" w:ascii="宋体" w:hAnsi="宋体"/>
                <w:szCs w:val="21"/>
                <w:highlight w:val="none"/>
              </w:rPr>
              <w:t>天前，</w:t>
            </w:r>
            <w:r>
              <w:rPr>
                <w:rFonts w:hint="eastAsia" w:ascii="宋体" w:hAnsi="宋体"/>
                <w:szCs w:val="21"/>
                <w:highlight w:val="none"/>
                <w:lang w:val="en-US" w:eastAsia="zh-CN"/>
              </w:rPr>
              <w:t>以书面形式向招标人提出</w:t>
            </w:r>
            <w:r>
              <w:rPr>
                <w:rFonts w:hint="eastAsia" w:ascii="宋体" w:hAnsi="宋体"/>
                <w:szCs w:val="21"/>
                <w:highlight w:val="none"/>
              </w:rPr>
              <w:t>。此时间后所有问题将不再予答复，其后果由投标人自行承担。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2.5</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投标截止时间</w:t>
            </w:r>
          </w:p>
        </w:tc>
        <w:tc>
          <w:tcPr>
            <w:tcW w:w="3261" w:type="pct"/>
            <w:shd w:val="clear" w:color="000000" w:fill="auto"/>
            <w:noWrap w:val="0"/>
            <w:vAlign w:val="center"/>
          </w:tcPr>
          <w:p>
            <w:pPr>
              <w:spacing w:before="120" w:beforeLines="50" w:line="360" w:lineRule="auto"/>
              <w:jc w:val="left"/>
              <w:rPr>
                <w:rFonts w:asci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2022</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u w:val="single"/>
                <w:lang w:val="en-US" w:eastAsia="zh-CN"/>
              </w:rPr>
              <w:t>1</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lang w:val="en-US" w:eastAsia="zh-CN"/>
              </w:rPr>
              <w:t>28</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u w:val="single"/>
                <w:lang w:val="en-US" w:eastAsia="zh-CN"/>
              </w:rPr>
              <w:t>9</w:t>
            </w:r>
            <w:r>
              <w:rPr>
                <w:rFonts w:ascii="宋体" w:hAnsi="宋体"/>
                <w:szCs w:val="21"/>
                <w:highlight w:val="none"/>
                <w:u w:val="single"/>
              </w:rPr>
              <w:t xml:space="preserve"> </w:t>
            </w:r>
            <w:r>
              <w:rPr>
                <w:rFonts w:hint="eastAsia" w:ascii="宋体" w:hAnsi="宋体"/>
                <w:szCs w:val="21"/>
                <w:highlight w:val="none"/>
              </w:rPr>
              <w:t>时</w:t>
            </w:r>
            <w:r>
              <w:rPr>
                <w:rFonts w:ascii="宋体" w:hAnsi="宋体"/>
                <w:szCs w:val="21"/>
                <w:highlight w:val="none"/>
                <w:u w:val="single"/>
              </w:rPr>
              <w:t xml:space="preserve"> </w:t>
            </w:r>
            <w:r>
              <w:rPr>
                <w:rFonts w:hint="eastAsia" w:ascii="宋体" w:hAnsi="宋体"/>
                <w:szCs w:val="21"/>
                <w:highlight w:val="none"/>
                <w:u w:val="single"/>
                <w:lang w:val="en-US" w:eastAsia="zh-CN"/>
              </w:rPr>
              <w:t>30</w:t>
            </w:r>
            <w:r>
              <w:rPr>
                <w:rFonts w:ascii="宋体" w:hAnsi="宋体"/>
                <w:szCs w:val="21"/>
                <w:highlight w:val="none"/>
                <w:u w:val="single"/>
              </w:rPr>
              <w:t xml:space="preserve"> </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2.6</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投标人确认收到招标文件澄清的时间</w:t>
            </w:r>
          </w:p>
        </w:tc>
        <w:tc>
          <w:tcPr>
            <w:tcW w:w="3261" w:type="pct"/>
            <w:shd w:val="clear" w:color="000000" w:fill="auto"/>
            <w:noWrap w:val="0"/>
            <w:vAlign w:val="center"/>
          </w:tcPr>
          <w:p>
            <w:pPr>
              <w:keepNext w:val="0"/>
              <w:keepLines w:val="0"/>
              <w:pageBreakBefore w:val="0"/>
              <w:widowControl w:val="0"/>
              <w:kinsoku/>
              <w:wordWrap w:val="0"/>
              <w:overflowPunct/>
              <w:topLinePunct w:val="0"/>
              <w:autoSpaceDE/>
              <w:autoSpaceDN/>
              <w:bidi w:val="0"/>
              <w:adjustRightInd/>
              <w:snapToGrid/>
              <w:spacing w:before="120" w:beforeLines="50" w:line="360" w:lineRule="auto"/>
              <w:jc w:val="left"/>
              <w:textAlignment w:val="auto"/>
              <w:rPr>
                <w:rFonts w:ascii="宋体"/>
                <w:szCs w:val="21"/>
                <w:highlight w:val="none"/>
              </w:rPr>
            </w:pPr>
            <w:r>
              <w:rPr>
                <w:rFonts w:hint="eastAsia" w:ascii="宋体" w:hAnsi="宋体"/>
                <w:szCs w:val="21"/>
                <w:highlight w:val="none"/>
              </w:rPr>
              <w:t>投标人自行</w:t>
            </w:r>
            <w:r>
              <w:rPr>
                <w:rFonts w:hint="eastAsia" w:ascii="宋体" w:hAnsi="宋体"/>
                <w:color w:val="auto"/>
                <w:szCs w:val="21"/>
                <w:highlight w:val="none"/>
              </w:rPr>
              <w:t>四川省交通建设集团股份有限公司（https://www.scjtgc.com/）</w:t>
            </w:r>
            <w:r>
              <w:rPr>
                <w:rFonts w:hint="eastAsia" w:ascii="宋体" w:hAnsi="宋体"/>
                <w:szCs w:val="21"/>
                <w:highlight w:val="none"/>
              </w:rPr>
              <w:t>收取修改内容，无须回复确认已收到该修改内容。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2.7</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投标人确认收到招标文件修改的时间</w:t>
            </w:r>
          </w:p>
        </w:tc>
        <w:tc>
          <w:tcPr>
            <w:tcW w:w="3261" w:type="pct"/>
            <w:shd w:val="clear" w:color="000000" w:fill="auto"/>
            <w:noWrap w:val="0"/>
            <w:vAlign w:val="center"/>
          </w:tcPr>
          <w:p>
            <w:pPr>
              <w:keepNext w:val="0"/>
              <w:keepLines w:val="0"/>
              <w:pageBreakBefore w:val="0"/>
              <w:widowControl w:val="0"/>
              <w:kinsoku/>
              <w:wordWrap w:val="0"/>
              <w:overflowPunct/>
              <w:topLinePunct w:val="0"/>
              <w:autoSpaceDE/>
              <w:autoSpaceDN/>
              <w:bidi w:val="0"/>
              <w:adjustRightInd/>
              <w:snapToGrid/>
              <w:spacing w:before="120" w:beforeLines="50" w:line="360" w:lineRule="auto"/>
              <w:jc w:val="left"/>
              <w:textAlignment w:val="auto"/>
              <w:rPr>
                <w:rFonts w:ascii="宋体"/>
                <w:szCs w:val="21"/>
                <w:highlight w:val="none"/>
              </w:rPr>
            </w:pPr>
            <w:r>
              <w:rPr>
                <w:rFonts w:hint="eastAsia" w:ascii="宋体" w:hAnsi="宋体"/>
                <w:szCs w:val="21"/>
                <w:highlight w:val="none"/>
              </w:rPr>
              <w:t>经相关行政主管部门备案的对招标文件的澄清、修改、补遗将在</w:t>
            </w:r>
            <w:r>
              <w:rPr>
                <w:rFonts w:hint="eastAsia" w:ascii="宋体" w:hAnsi="宋体"/>
                <w:color w:val="auto"/>
                <w:szCs w:val="21"/>
                <w:highlight w:val="none"/>
              </w:rPr>
              <w:t>四川省交通建设集团股份有限公司</w:t>
            </w:r>
            <w:r>
              <w:rPr>
                <w:rFonts w:hint="eastAsia" w:ascii="宋体" w:hAnsi="宋体"/>
                <w:color w:val="auto"/>
                <w:szCs w:val="21"/>
                <w:highlight w:val="none"/>
                <w:lang w:val="en-US" w:eastAsia="zh-CN"/>
              </w:rPr>
              <w:t>官网</w:t>
            </w:r>
            <w:r>
              <w:rPr>
                <w:rFonts w:hint="eastAsia" w:ascii="宋体" w:hAnsi="宋体"/>
                <w:color w:val="auto"/>
                <w:szCs w:val="21"/>
                <w:highlight w:val="none"/>
              </w:rPr>
              <w:t>（https://www.scjtgc.com/）</w:t>
            </w:r>
            <w:r>
              <w:rPr>
                <w:rFonts w:hint="eastAsia" w:ascii="宋体" w:hAnsi="宋体"/>
                <w:szCs w:val="21"/>
                <w:highlight w:val="none"/>
              </w:rPr>
              <w:t>上发布，投标人自行查阅、下载。该澄清、修改、补遗作为招标文件的组成部分，对所有投标人具有同等的约束力。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3.3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投标有效期</w:t>
            </w:r>
          </w:p>
        </w:tc>
        <w:tc>
          <w:tcPr>
            <w:tcW w:w="3261" w:type="pct"/>
            <w:shd w:val="clear" w:color="000000" w:fill="auto"/>
            <w:noWrap w:val="0"/>
            <w:vAlign w:val="center"/>
          </w:tcPr>
          <w:p>
            <w:pPr>
              <w:spacing w:line="240" w:lineRule="auto"/>
              <w:jc w:val="left"/>
              <w:rPr>
                <w:rFonts w:ascii="宋体"/>
                <w:szCs w:val="21"/>
                <w:highlight w:val="none"/>
              </w:rPr>
            </w:pPr>
            <w:r>
              <w:rPr>
                <w:rFonts w:hint="eastAsia" w:ascii="宋体" w:hAnsi="宋体"/>
                <w:szCs w:val="21"/>
                <w:highlight w:val="none"/>
                <w:lang w:val="en-US" w:eastAsia="zh-CN"/>
              </w:rPr>
              <w:t>3</w:t>
            </w:r>
            <w:r>
              <w:rPr>
                <w:rFonts w:ascii="宋体" w:hAnsi="宋体"/>
                <w:szCs w:val="21"/>
                <w:highlight w:val="none"/>
              </w:rPr>
              <w:t>0</w:t>
            </w:r>
            <w:r>
              <w:rPr>
                <w:rFonts w:hint="eastAsia" w:ascii="宋体" w:hAnsi="宋体"/>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3.4</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投标保证金</w:t>
            </w:r>
          </w:p>
        </w:tc>
        <w:tc>
          <w:tcPr>
            <w:tcW w:w="3261" w:type="pct"/>
            <w:shd w:val="clear" w:color="000000" w:fill="auto"/>
            <w:noWrap w:val="0"/>
            <w:vAlign w:val="top"/>
          </w:tcPr>
          <w:p>
            <w:pPr>
              <w:pStyle w:val="14"/>
              <w:keepNext w:val="0"/>
              <w:keepLines w:val="0"/>
              <w:pageBreakBefore w:val="0"/>
              <w:numPr>
                <w:ilvl w:val="0"/>
                <w:numId w:val="2"/>
              </w:numPr>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kern w:val="2"/>
                <w:highlight w:val="none"/>
              </w:rPr>
            </w:pPr>
            <w:r>
              <w:rPr>
                <w:rFonts w:hint="eastAsia" w:ascii="宋体" w:hAnsi="宋体" w:eastAsia="宋体" w:cs="宋体"/>
                <w:kern w:val="2"/>
                <w:highlight w:val="none"/>
                <w:lang w:val="en-US" w:eastAsia="zh-CN"/>
              </w:rPr>
              <w:t>投标保证金可采取银行转账或银行保函的方式。</w:t>
            </w:r>
          </w:p>
          <w:p>
            <w:pPr>
              <w:pStyle w:val="14"/>
              <w:keepNext w:val="0"/>
              <w:keepLines w:val="0"/>
              <w:pageBreakBefore w:val="0"/>
              <w:numPr>
                <w:ilvl w:val="0"/>
                <w:numId w:val="3"/>
              </w:numPr>
              <w:kinsoku/>
              <w:wordWrap/>
              <w:overflowPunct/>
              <w:topLinePunct w:val="0"/>
              <w:bidi w:val="0"/>
              <w:adjustRightInd/>
              <w:snapToGrid/>
              <w:spacing w:line="360" w:lineRule="auto"/>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银行转账缴纳形式：</w:t>
            </w:r>
            <w:r>
              <w:rPr>
                <w:rFonts w:hint="eastAsia" w:ascii="宋体" w:hAnsi="宋体" w:eastAsia="宋体" w:cs="宋体"/>
                <w:highlight w:val="none"/>
              </w:rPr>
              <w:t>投标人在递交投标文件截止日之前，应按招标公告的规定使用基本账户向招标人的指定银行账户提交人民币</w:t>
            </w:r>
            <w:r>
              <w:rPr>
                <w:rFonts w:hint="eastAsia" w:ascii="宋体" w:hAnsi="宋体" w:eastAsia="宋体" w:cs="宋体"/>
                <w:b/>
                <w:bCs/>
                <w:highlight w:val="none"/>
                <w:lang w:val="en-US" w:eastAsia="zh-CN"/>
              </w:rPr>
              <w:t>5</w:t>
            </w:r>
            <w:r>
              <w:rPr>
                <w:rFonts w:hint="eastAsia" w:ascii="宋体" w:hAnsi="宋体" w:eastAsia="宋体" w:cs="宋体"/>
                <w:b/>
                <w:bCs/>
                <w:highlight w:val="none"/>
              </w:rPr>
              <w:t>万元</w:t>
            </w:r>
            <w:r>
              <w:rPr>
                <w:rFonts w:hint="eastAsia" w:ascii="宋体" w:hAnsi="宋体" w:eastAsia="宋体" w:cs="宋体"/>
                <w:highlight w:val="none"/>
              </w:rPr>
              <w:t>的投标保证金。</w:t>
            </w:r>
          </w:p>
          <w:p>
            <w:pPr>
              <w:pStyle w:val="14"/>
              <w:keepNext w:val="0"/>
              <w:keepLines w:val="0"/>
              <w:pageBreakBefore w:val="0"/>
              <w:numPr>
                <w:ilvl w:val="0"/>
                <w:numId w:val="3"/>
              </w:numPr>
              <w:kinsoku/>
              <w:wordWrap/>
              <w:overflowPunct/>
              <w:topLinePunct w:val="0"/>
              <w:bidi w:val="0"/>
              <w:adjustRightInd/>
              <w:snapToGrid/>
              <w:spacing w:line="360" w:lineRule="auto"/>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银行</w:t>
            </w:r>
            <w:r>
              <w:rPr>
                <w:rFonts w:hint="eastAsia" w:ascii="宋体" w:hAnsi="宋体" w:eastAsia="宋体" w:cs="宋体"/>
                <w:highlight w:val="none"/>
              </w:rPr>
              <w:t>保函</w:t>
            </w:r>
            <w:r>
              <w:rPr>
                <w:rFonts w:hint="eastAsia" w:ascii="宋体" w:hAnsi="宋体" w:eastAsia="宋体" w:cs="宋体"/>
                <w:highlight w:val="none"/>
                <w:lang w:val="en-US" w:eastAsia="zh-CN"/>
              </w:rPr>
              <w:t>缴纳</w:t>
            </w:r>
            <w:r>
              <w:rPr>
                <w:rFonts w:hint="eastAsia" w:ascii="宋体" w:hAnsi="宋体" w:eastAsia="宋体" w:cs="宋体"/>
                <w:highlight w:val="none"/>
              </w:rPr>
              <w:t>形式：银行保函的格式以银行格式为准，保函的内容应包括投标保证金金额</w:t>
            </w:r>
            <w:r>
              <w:rPr>
                <w:rFonts w:hint="eastAsia" w:ascii="宋体" w:hAnsi="宋体" w:eastAsia="宋体" w:cs="宋体"/>
                <w:b/>
                <w:bCs/>
                <w:highlight w:val="none"/>
                <w:lang w:val="en-US" w:eastAsia="zh-CN"/>
              </w:rPr>
              <w:t>5万元</w:t>
            </w:r>
            <w:r>
              <w:rPr>
                <w:rFonts w:hint="eastAsia" w:ascii="宋体" w:hAnsi="宋体" w:eastAsia="宋体" w:cs="宋体"/>
                <w:highlight w:val="none"/>
              </w:rPr>
              <w:t>、保函的有效期限、银行担保的内容（即：如因投标人原因发生招标文件规定的投标保证金不予退还的情况，由银行向招标人足额支付投标保证金）等</w:t>
            </w:r>
            <w:r>
              <w:rPr>
                <w:rFonts w:hint="eastAsia" w:ascii="宋体" w:hAnsi="宋体" w:eastAsia="宋体" w:cs="宋体"/>
                <w:highlight w:val="none"/>
                <w:lang w:eastAsia="zh-CN"/>
              </w:rPr>
              <w:t>。</w:t>
            </w:r>
          </w:p>
          <w:p>
            <w:pPr>
              <w:pStyle w:val="14"/>
              <w:keepNext w:val="0"/>
              <w:keepLines w:val="0"/>
              <w:pageBreakBefore w:val="0"/>
              <w:numPr>
                <w:ilvl w:val="0"/>
                <w:numId w:val="2"/>
              </w:numPr>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kern w:val="2"/>
                <w:highlight w:val="none"/>
              </w:rPr>
            </w:pPr>
            <w:r>
              <w:rPr>
                <w:rFonts w:hint="eastAsia" w:ascii="宋体" w:hAnsi="宋体" w:eastAsia="宋体" w:cs="宋体"/>
                <w:kern w:val="2"/>
                <w:highlight w:val="none"/>
              </w:rPr>
              <w:t>投标保证金账户：</w:t>
            </w:r>
          </w:p>
          <w:p>
            <w:pPr>
              <w:pStyle w:val="14"/>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kern w:val="2"/>
                <w:highlight w:val="none"/>
              </w:rPr>
            </w:pPr>
            <w:r>
              <w:rPr>
                <w:rFonts w:hint="eastAsia" w:ascii="宋体" w:hAnsi="宋体" w:eastAsia="宋体" w:cs="宋体"/>
                <w:kern w:val="2"/>
                <w:highlight w:val="none"/>
              </w:rPr>
              <w:t>开户银行：四川省交通建设集团股份有限公司</w:t>
            </w:r>
          </w:p>
          <w:p>
            <w:pPr>
              <w:pStyle w:val="14"/>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s="Times New Roman"/>
                <w:color w:val="auto"/>
                <w:szCs w:val="21"/>
                <w:highlight w:val="none"/>
                <w:lang w:val="en-US" w:eastAsia="zh-CN"/>
              </w:rPr>
            </w:pPr>
            <w:r>
              <w:rPr>
                <w:rFonts w:hint="eastAsia" w:ascii="宋体" w:hAnsi="宋体" w:eastAsia="宋体" w:cs="宋体"/>
                <w:kern w:val="2"/>
                <w:highlight w:val="none"/>
              </w:rPr>
              <w:t>开户名称：</w:t>
            </w:r>
            <w:r>
              <w:rPr>
                <w:rFonts w:hint="eastAsia" w:ascii="宋体" w:hAnsi="宋体" w:eastAsia="宋体" w:cs="Times New Roman"/>
                <w:color w:val="auto"/>
                <w:szCs w:val="21"/>
                <w:highlight w:val="none"/>
                <w:lang w:val="en-US" w:eastAsia="zh-CN"/>
              </w:rPr>
              <w:t>中国建设银行成都新华支行</w:t>
            </w:r>
          </w:p>
          <w:p>
            <w:pPr>
              <w:pStyle w:val="14"/>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kern w:val="2"/>
                <w:highlight w:val="none"/>
              </w:rPr>
            </w:pPr>
            <w:r>
              <w:rPr>
                <w:rFonts w:hint="eastAsia" w:ascii="宋体" w:hAnsi="宋体" w:eastAsia="宋体" w:cs="宋体"/>
                <w:kern w:val="2"/>
                <w:highlight w:val="none"/>
              </w:rPr>
              <w:t>账    号：</w:t>
            </w:r>
            <w:r>
              <w:rPr>
                <w:rFonts w:hint="eastAsia" w:ascii="宋体" w:hAnsi="宋体" w:eastAsia="宋体" w:cs="Times New Roman"/>
                <w:color w:val="auto"/>
                <w:szCs w:val="21"/>
                <w:highlight w:val="none"/>
                <w:lang w:val="en-US" w:eastAsia="zh-CN"/>
              </w:rPr>
              <w:t>51050187083600003019</w:t>
            </w:r>
          </w:p>
          <w:p>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szCs w:val="21"/>
                <w:highlight w:val="none"/>
              </w:rPr>
            </w:pPr>
            <w:r>
              <w:rPr>
                <w:rFonts w:hint="eastAsia" w:ascii="宋体" w:hAnsi="宋体" w:eastAsia="宋体" w:cs="宋体"/>
                <w:b/>
                <w:bCs/>
                <w:highlight w:val="none"/>
                <w:u w:val="single"/>
              </w:rPr>
              <w:t>（转账时备注“</w:t>
            </w:r>
            <w:r>
              <w:rPr>
                <w:rFonts w:hint="eastAsia" w:ascii="宋体" w:hAnsi="宋体" w:eastAsia="宋体" w:cs="宋体"/>
                <w:b/>
                <w:bCs/>
                <w:highlight w:val="none"/>
                <w:u w:val="single"/>
                <w:lang w:val="en-US" w:eastAsia="zh-CN"/>
              </w:rPr>
              <w:t>四川省钢构智造有限公司眉山基地监理</w:t>
            </w:r>
            <w:r>
              <w:rPr>
                <w:rFonts w:hint="eastAsia" w:ascii="宋体" w:hAnsi="宋体" w:eastAsia="宋体" w:cs="宋体"/>
                <w:b/>
                <w:bCs/>
                <w:highlight w:val="none"/>
                <w:u w:val="singl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hAnsi="宋体"/>
                <w:szCs w:val="21"/>
                <w:highlight w:val="none"/>
              </w:rPr>
            </w:pPr>
            <w:r>
              <w:rPr>
                <w:rFonts w:ascii="宋体" w:hAnsi="宋体"/>
                <w:szCs w:val="21"/>
                <w:highlight w:val="none"/>
              </w:rPr>
              <w:t>3.4.3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投标保证金的退还时间及提供资料要求</w:t>
            </w:r>
          </w:p>
        </w:tc>
        <w:tc>
          <w:tcPr>
            <w:tcW w:w="3261" w:type="pct"/>
            <w:shd w:val="clear" w:color="000000" w:fill="auto"/>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本项细化为：</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（1）退还时间：在招标人与中标人签订合同协议书</w:t>
            </w:r>
            <w:r>
              <w:rPr>
                <w:rFonts w:hint="eastAsia" w:ascii="宋体" w:hAnsi="宋体" w:eastAsia="宋体" w:cs="宋体"/>
                <w:szCs w:val="21"/>
                <w:highlight w:val="none"/>
                <w:u w:val="single"/>
              </w:rPr>
              <w:t>5</w:t>
            </w:r>
            <w:r>
              <w:rPr>
                <w:rFonts w:hint="eastAsia" w:ascii="宋体" w:hAnsi="宋体" w:eastAsia="宋体" w:cs="宋体"/>
                <w:szCs w:val="21"/>
                <w:highlight w:val="none"/>
              </w:rPr>
              <w:t>个工作日后开始退还，最迟不超过投标文件有效期；</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jc w:val="left"/>
              <w:textAlignment w:val="auto"/>
              <w:rPr>
                <w:rFonts w:ascii="宋体"/>
                <w:szCs w:val="21"/>
                <w:highlight w:val="none"/>
              </w:rPr>
            </w:pPr>
            <w:r>
              <w:rPr>
                <w:rFonts w:hint="eastAsia" w:ascii="宋体" w:hAnsi="宋体" w:eastAsia="宋体" w:cs="宋体"/>
                <w:szCs w:val="21"/>
                <w:highlight w:val="none"/>
              </w:rPr>
              <w:t>（2）退还方式：由投标人将法定代表人或委托代理人本人身份证复印件、银行转账回执单、开户行信息复印件（全部盖公章）发送至</w:t>
            </w:r>
            <w:r>
              <w:rPr>
                <w:rFonts w:hint="eastAsia" w:ascii="宋体" w:hAnsi="宋体"/>
                <w:color w:val="auto"/>
                <w:szCs w:val="21"/>
                <w:highlight w:val="none"/>
              </w:rPr>
              <w:t>4207480</w:t>
            </w:r>
            <w:r>
              <w:rPr>
                <w:rFonts w:ascii="宋体" w:hAnsi="宋体"/>
                <w:color w:val="auto"/>
                <w:szCs w:val="21"/>
                <w:highlight w:val="none"/>
              </w:rPr>
              <w:t>@qq.com</w:t>
            </w:r>
            <w:r>
              <w:rPr>
                <w:rFonts w:hint="eastAsia" w:ascii="宋体" w:hAnsi="宋体" w:eastAsia="宋体" w:cs="宋体"/>
                <w:szCs w:val="21"/>
                <w:highlight w:val="none"/>
              </w:rPr>
              <w:t>邮箱</w:t>
            </w:r>
            <w:r>
              <w:rPr>
                <w:rFonts w:hint="eastAsia" w:ascii="宋体" w:hAnsi="宋体" w:eastAsia="宋体" w:cs="宋体"/>
                <w:szCs w:val="21"/>
                <w:highlight w:val="none"/>
                <w:lang w:val="en-US" w:eastAsia="zh-CN"/>
              </w:rPr>
              <w:t>办理</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hAnsi="宋体"/>
                <w:szCs w:val="21"/>
                <w:highlight w:val="none"/>
              </w:rPr>
            </w:pPr>
            <w:r>
              <w:rPr>
                <w:rFonts w:ascii="宋体" w:hAnsi="宋体"/>
                <w:szCs w:val="21"/>
                <w:highlight w:val="none"/>
              </w:rPr>
              <w:t>3.4.4</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投标保证金不予退还的情形</w:t>
            </w:r>
          </w:p>
        </w:tc>
        <w:tc>
          <w:tcPr>
            <w:tcW w:w="3261" w:type="pct"/>
            <w:shd w:val="clear" w:color="000000" w:fill="auto"/>
            <w:noWrap w:val="0"/>
            <w:vAlign w:val="top"/>
          </w:tcPr>
          <w:p>
            <w:pPr>
              <w:pStyle w:val="5"/>
              <w:adjustRightInd w:val="0"/>
              <w:snapToGrid w:val="0"/>
              <w:spacing w:line="360" w:lineRule="auto"/>
              <w:rPr>
                <w:rFonts w:hAnsi="宋体" w:cs="宋体"/>
                <w:highlight w:val="none"/>
              </w:rPr>
            </w:pPr>
            <w:r>
              <w:rPr>
                <w:rFonts w:hint="eastAsia" w:hAnsi="宋体" w:cs="宋体"/>
                <w:highlight w:val="none"/>
              </w:rPr>
              <w:t>有下列情形之一的，投标保证金将不予退还：</w:t>
            </w:r>
          </w:p>
          <w:p>
            <w:pPr>
              <w:pStyle w:val="5"/>
              <w:adjustRightInd w:val="0"/>
              <w:snapToGrid w:val="0"/>
              <w:spacing w:line="360" w:lineRule="auto"/>
              <w:rPr>
                <w:rFonts w:hAnsi="宋体" w:cs="宋体"/>
                <w:highlight w:val="none"/>
              </w:rPr>
            </w:pPr>
            <w:r>
              <w:rPr>
                <w:rFonts w:hint="eastAsia" w:hAnsi="宋体" w:cs="宋体"/>
                <w:highlight w:val="none"/>
              </w:rPr>
              <w:t>（1）投标人提交了虚假资料；</w:t>
            </w:r>
          </w:p>
          <w:p>
            <w:pPr>
              <w:pStyle w:val="5"/>
              <w:adjustRightInd w:val="0"/>
              <w:snapToGrid w:val="0"/>
              <w:spacing w:line="360" w:lineRule="auto"/>
              <w:rPr>
                <w:rFonts w:hAnsi="宋体" w:cs="宋体"/>
                <w:highlight w:val="none"/>
              </w:rPr>
            </w:pPr>
            <w:r>
              <w:rPr>
                <w:rFonts w:hint="eastAsia" w:hAnsi="宋体" w:cs="宋体"/>
                <w:highlight w:val="none"/>
              </w:rPr>
              <w:t>（2）中标人未按招标文件要求在规定的时间内提交足额履约保证金。</w:t>
            </w:r>
          </w:p>
          <w:p>
            <w:pPr>
              <w:pStyle w:val="5"/>
              <w:adjustRightInd w:val="0"/>
              <w:snapToGrid w:val="0"/>
              <w:spacing w:line="360" w:lineRule="auto"/>
              <w:rPr>
                <w:rFonts w:hAnsi="宋体" w:cs="宋体"/>
                <w:highlight w:val="none"/>
              </w:rPr>
            </w:pPr>
            <w:r>
              <w:rPr>
                <w:rFonts w:hint="eastAsia" w:hAnsi="宋体" w:cs="宋体"/>
                <w:highlight w:val="none"/>
              </w:rPr>
              <w:t>（3）中标人在收到中标通知书后30日内拒签合同协议书，或在签订合同时向招标人提出招标文件之外的附加条件。</w:t>
            </w:r>
          </w:p>
          <w:p>
            <w:pPr>
              <w:pStyle w:val="5"/>
              <w:adjustRightInd w:val="0"/>
              <w:snapToGrid w:val="0"/>
              <w:spacing w:line="360" w:lineRule="auto"/>
              <w:rPr>
                <w:rFonts w:hAnsi="宋体" w:cs="宋体"/>
                <w:highlight w:val="none"/>
              </w:rPr>
            </w:pPr>
            <w:r>
              <w:rPr>
                <w:rFonts w:hint="eastAsia" w:hAnsi="宋体" w:cs="宋体"/>
                <w:highlight w:val="none"/>
              </w:rPr>
              <w:t>（4）投标人在规定的投标有限期内撤销或修改其投标文件。</w:t>
            </w:r>
          </w:p>
          <w:p>
            <w:pPr>
              <w:spacing w:line="360" w:lineRule="auto"/>
              <w:jc w:val="left"/>
              <w:rPr>
                <w:rFonts w:ascii="宋体"/>
                <w:szCs w:val="21"/>
                <w:highlight w:val="none"/>
              </w:rPr>
            </w:pPr>
            <w:r>
              <w:rPr>
                <w:rFonts w:hint="eastAsia" w:hAnsi="宋体" w:cs="宋体"/>
                <w:highlight w:val="none"/>
              </w:rPr>
              <w:t>（5）投标人在投标活动中有违法、违规及弄虚作假行为的；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3.5.2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近年财务状况的年份要求</w:t>
            </w:r>
          </w:p>
        </w:tc>
        <w:tc>
          <w:tcPr>
            <w:tcW w:w="3261" w:type="pct"/>
            <w:shd w:val="clear" w:color="000000" w:fill="auto"/>
            <w:noWrap w:val="0"/>
            <w:vAlign w:val="center"/>
          </w:tcPr>
          <w:p>
            <w:pPr>
              <w:spacing w:line="360" w:lineRule="auto"/>
              <w:jc w:val="left"/>
              <w:rPr>
                <w:rFonts w:hint="eastAsia" w:ascii="宋体" w:eastAsia="宋体"/>
                <w:szCs w:val="21"/>
                <w:highlight w:val="none"/>
                <w:lang w:val="en-US" w:eastAsia="zh-CN"/>
              </w:rPr>
            </w:pPr>
            <w:r>
              <w:rPr>
                <w:rFonts w:hint="eastAsia" w:ascii="宋体" w:hAnsi="宋体"/>
                <w:szCs w:val="21"/>
                <w:highlight w:val="none"/>
              </w:rPr>
              <w:t>近</w:t>
            </w:r>
            <w:r>
              <w:rPr>
                <w:rFonts w:ascii="宋体" w:hAnsi="宋体"/>
                <w:szCs w:val="21"/>
                <w:highlight w:val="none"/>
                <w:u w:val="single"/>
              </w:rPr>
              <w:t xml:space="preserve"> </w:t>
            </w:r>
            <w:r>
              <w:rPr>
                <w:rFonts w:hint="eastAsia" w:ascii="宋体" w:hAnsi="宋体"/>
                <w:szCs w:val="21"/>
                <w:highlight w:val="none"/>
                <w:u w:val="single"/>
                <w:lang w:val="en-US" w:eastAsia="zh-CN"/>
              </w:rPr>
              <w:t>3</w:t>
            </w:r>
            <w:r>
              <w:rPr>
                <w:rFonts w:ascii="宋体" w:hAnsi="宋体"/>
                <w:szCs w:val="21"/>
                <w:highlight w:val="none"/>
                <w:u w:val="single"/>
              </w:rPr>
              <w:t xml:space="preserve"> </w:t>
            </w:r>
            <w:r>
              <w:rPr>
                <w:rFonts w:hint="eastAsia" w:ascii="宋体" w:hAnsi="宋体"/>
                <w:szCs w:val="21"/>
                <w:highlight w:val="none"/>
              </w:rPr>
              <w:t>年，即：</w:t>
            </w:r>
            <w:r>
              <w:rPr>
                <w:rFonts w:hint="eastAsia" w:ascii="宋体" w:hAnsi="宋体"/>
                <w:szCs w:val="21"/>
                <w:highlight w:val="none"/>
                <w:u w:val="single"/>
                <w:lang w:val="en-US" w:eastAsia="zh-CN"/>
              </w:rPr>
              <w:t>2018</w:t>
            </w:r>
            <w:r>
              <w:rPr>
                <w:rFonts w:hint="eastAsia" w:ascii="宋体" w:hAnsi="宋体"/>
                <w:szCs w:val="21"/>
                <w:highlight w:val="none"/>
              </w:rPr>
              <w:t>年至</w:t>
            </w:r>
            <w:r>
              <w:rPr>
                <w:rFonts w:hint="eastAsia" w:ascii="宋体" w:hAnsi="宋体"/>
                <w:szCs w:val="21"/>
                <w:highlight w:val="none"/>
                <w:u w:val="single"/>
                <w:lang w:val="en-US" w:eastAsia="zh-CN"/>
              </w:rPr>
              <w:t>2020</w:t>
            </w:r>
            <w:r>
              <w:rPr>
                <w:rFonts w:hint="eastAsia" w:ascii="宋体" w:hAnsi="宋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3.5.3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近年完成的类似项目的年份要求</w:t>
            </w:r>
          </w:p>
        </w:tc>
        <w:tc>
          <w:tcPr>
            <w:tcW w:w="3261" w:type="pct"/>
            <w:shd w:val="clear" w:color="000000" w:fill="auto"/>
            <w:noWrap w:val="0"/>
            <w:vAlign w:val="center"/>
          </w:tcPr>
          <w:p>
            <w:pPr>
              <w:spacing w:line="360" w:lineRule="auto"/>
              <w:jc w:val="left"/>
              <w:rPr>
                <w:rFonts w:ascii="宋体"/>
                <w:b/>
                <w:bCs/>
                <w:szCs w:val="21"/>
                <w:highlight w:val="none"/>
              </w:rPr>
            </w:pPr>
            <w:r>
              <w:rPr>
                <w:rFonts w:hint="eastAsia" w:ascii="宋体" w:hAnsi="宋体"/>
                <w:b/>
                <w:bCs/>
                <w:strike w:val="0"/>
                <w:dstrike w:val="0"/>
                <w:szCs w:val="21"/>
                <w:highlight w:val="none"/>
                <w:u w:val="single"/>
              </w:rPr>
              <w:t>近</w:t>
            </w:r>
            <w:r>
              <w:rPr>
                <w:rFonts w:ascii="宋体" w:hAnsi="宋体"/>
                <w:b/>
                <w:bCs/>
                <w:strike w:val="0"/>
                <w:dstrike w:val="0"/>
                <w:szCs w:val="21"/>
                <w:highlight w:val="none"/>
                <w:u w:val="single"/>
              </w:rPr>
              <w:t xml:space="preserve"> </w:t>
            </w:r>
            <w:r>
              <w:rPr>
                <w:rFonts w:hint="eastAsia" w:ascii="宋体" w:hAnsi="宋体"/>
                <w:b/>
                <w:bCs/>
                <w:strike w:val="0"/>
                <w:dstrike w:val="0"/>
                <w:szCs w:val="21"/>
                <w:highlight w:val="none"/>
                <w:u w:val="single"/>
                <w:lang w:val="en-US" w:eastAsia="zh-CN"/>
              </w:rPr>
              <w:t>5</w:t>
            </w:r>
            <w:r>
              <w:rPr>
                <w:rFonts w:ascii="宋体" w:hAnsi="宋体"/>
                <w:b/>
                <w:bCs/>
                <w:strike w:val="0"/>
                <w:dstrike w:val="0"/>
                <w:szCs w:val="21"/>
                <w:highlight w:val="none"/>
                <w:u w:val="single"/>
              </w:rPr>
              <w:t xml:space="preserve"> </w:t>
            </w:r>
            <w:r>
              <w:rPr>
                <w:rFonts w:hint="eastAsia" w:ascii="宋体" w:hAnsi="宋体"/>
                <w:b/>
                <w:bCs/>
                <w:strike w:val="0"/>
                <w:dstrike w:val="0"/>
                <w:szCs w:val="21"/>
                <w:highlight w:val="none"/>
                <w:u w:val="single"/>
              </w:rPr>
              <w:t>年，即：</w:t>
            </w:r>
            <w:r>
              <w:rPr>
                <w:rFonts w:hint="eastAsia" w:ascii="宋体" w:hAnsi="宋体"/>
                <w:b/>
                <w:bCs/>
                <w:strike w:val="0"/>
                <w:dstrike w:val="0"/>
                <w:szCs w:val="21"/>
                <w:highlight w:val="none"/>
                <w:u w:val="single"/>
                <w:lang w:val="en-US" w:eastAsia="zh-CN"/>
              </w:rPr>
              <w:t>2016</w:t>
            </w:r>
            <w:r>
              <w:rPr>
                <w:rFonts w:hint="eastAsia" w:ascii="宋体" w:hAnsi="宋体"/>
                <w:b/>
                <w:bCs/>
                <w:strike w:val="0"/>
                <w:dstrike w:val="0"/>
                <w:szCs w:val="21"/>
                <w:highlight w:val="none"/>
                <w:u w:val="single"/>
              </w:rPr>
              <w:t>年至</w:t>
            </w:r>
            <w:r>
              <w:rPr>
                <w:rFonts w:hint="eastAsia" w:ascii="宋体" w:hAnsi="宋体"/>
                <w:b/>
                <w:bCs/>
                <w:strike w:val="0"/>
                <w:dstrike w:val="0"/>
                <w:szCs w:val="21"/>
                <w:highlight w:val="none"/>
                <w:u w:val="single"/>
                <w:lang w:val="en-US" w:eastAsia="zh-CN"/>
              </w:rPr>
              <w:t>2021</w:t>
            </w:r>
            <w:r>
              <w:rPr>
                <w:rFonts w:hint="eastAsia" w:ascii="宋体" w:hAnsi="宋体"/>
                <w:b/>
                <w:bCs/>
                <w:strike w:val="0"/>
                <w:dstrike w:val="0"/>
                <w:szCs w:val="21"/>
                <w:highlight w:val="none"/>
                <w:u w:val="single"/>
              </w:rPr>
              <w:t>年，不少于</w:t>
            </w:r>
            <w:r>
              <w:rPr>
                <w:rFonts w:hint="eastAsia" w:ascii="宋体" w:hAnsi="宋体"/>
                <w:b/>
                <w:bCs/>
                <w:strike w:val="0"/>
                <w:dstrike w:val="0"/>
                <w:szCs w:val="21"/>
                <w:highlight w:val="none"/>
                <w:u w:val="single"/>
                <w:lang w:val="en-US" w:eastAsia="zh-CN"/>
              </w:rPr>
              <w:t>2个</w:t>
            </w:r>
            <w:r>
              <w:rPr>
                <w:rFonts w:hint="eastAsia" w:ascii="宋体" w:hAnsi="宋体"/>
                <w:b/>
                <w:bCs/>
                <w:strike w:val="0"/>
                <w:dstrike w:val="0"/>
                <w:szCs w:val="21"/>
                <w:highlight w:val="none"/>
                <w:u w:val="single"/>
              </w:rPr>
              <w:t>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3.7.3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投标文件签署</w:t>
            </w:r>
          </w:p>
        </w:tc>
        <w:tc>
          <w:tcPr>
            <w:tcW w:w="3261" w:type="pct"/>
            <w:shd w:val="clear" w:color="000000" w:fill="auto"/>
            <w:noWrap w:val="0"/>
            <w:vAlign w:val="center"/>
          </w:tcPr>
          <w:p>
            <w:pPr>
              <w:pStyle w:val="5"/>
              <w:adjustRightInd w:val="0"/>
              <w:snapToGrid w:val="0"/>
              <w:spacing w:line="360" w:lineRule="auto"/>
              <w:rPr>
                <w:rFonts w:hint="eastAsia" w:hAnsi="宋体" w:eastAsia="宋体" w:cs="宋体"/>
                <w:highlight w:val="none"/>
                <w:lang w:eastAsia="zh-CN"/>
              </w:rPr>
            </w:pPr>
            <w:r>
              <w:rPr>
                <w:rFonts w:hint="eastAsia" w:hAnsi="宋体" w:eastAsia="宋体" w:cs="宋体"/>
                <w:highlight w:val="none"/>
                <w:lang w:eastAsia="zh-CN"/>
              </w:rPr>
              <w:t>（1）单位章内容必须与单位营业执照名称一致。</w:t>
            </w:r>
          </w:p>
          <w:p>
            <w:pPr>
              <w:pStyle w:val="5"/>
              <w:adjustRightInd w:val="0"/>
              <w:snapToGrid w:val="0"/>
              <w:spacing w:line="360" w:lineRule="auto"/>
              <w:rPr>
                <w:rFonts w:hint="eastAsia" w:hAnsi="宋体" w:eastAsia="宋体" w:cs="宋体"/>
                <w:highlight w:val="none"/>
                <w:lang w:eastAsia="zh-CN"/>
              </w:rPr>
            </w:pPr>
            <w:r>
              <w:rPr>
                <w:rFonts w:hint="eastAsia" w:hAnsi="宋体" w:eastAsia="宋体" w:cs="宋体"/>
                <w:highlight w:val="none"/>
                <w:lang w:eastAsia="zh-CN"/>
              </w:rPr>
              <w:t>（2）法定代表人或授权的代理人必须在投标文件格式上所有要求签署的地方亲自签署，并不得用印章、签名章或电子制版章代替。</w:t>
            </w:r>
          </w:p>
          <w:p>
            <w:pPr>
              <w:pStyle w:val="5"/>
              <w:adjustRightInd w:val="0"/>
              <w:snapToGrid w:val="0"/>
              <w:spacing w:line="360" w:lineRule="auto"/>
              <w:rPr>
                <w:rFonts w:hint="eastAsia" w:hAnsi="宋体" w:eastAsia="宋体" w:cs="宋体"/>
                <w:highlight w:val="none"/>
                <w:lang w:eastAsia="zh-CN"/>
              </w:rPr>
            </w:pPr>
            <w:r>
              <w:rPr>
                <w:rFonts w:hint="eastAsia" w:hAnsi="宋体" w:eastAsia="宋体" w:cs="宋体"/>
                <w:highlight w:val="none"/>
                <w:lang w:eastAsia="zh-CN"/>
              </w:rPr>
              <w:t>（3）投标文件格式上所有要求盖章的地方都须加盖投标人单位章（法定名称），不得使用专用印章。</w:t>
            </w:r>
          </w:p>
          <w:p>
            <w:pPr>
              <w:pStyle w:val="5"/>
              <w:adjustRightInd w:val="0"/>
              <w:snapToGrid w:val="0"/>
              <w:spacing w:line="360" w:lineRule="auto"/>
              <w:rPr>
                <w:rFonts w:ascii="宋体"/>
                <w:szCs w:val="21"/>
                <w:highlight w:val="none"/>
              </w:rPr>
            </w:pPr>
            <w:r>
              <w:rPr>
                <w:rFonts w:hint="eastAsia" w:hAnsi="宋体" w:eastAsia="宋体" w:cs="宋体"/>
                <w:highlight w:val="none"/>
                <w:lang w:eastAsia="zh-CN"/>
              </w:rPr>
              <w:t>（4）投标文件格式中对应内容在提交的投标文件中的任何改动之处应加盖单位章或由投标人的法定代表人或其委托代理人签字确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3.7.4</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投标文件递交及有关内容</w:t>
            </w:r>
          </w:p>
        </w:tc>
        <w:tc>
          <w:tcPr>
            <w:tcW w:w="3261" w:type="pct"/>
            <w:shd w:val="clear" w:color="000000" w:fill="auto"/>
            <w:noWrap w:val="0"/>
            <w:vAlign w:val="center"/>
          </w:tcPr>
          <w:p>
            <w:pPr>
              <w:pStyle w:val="3"/>
              <w:adjustRightInd/>
              <w:spacing w:line="360" w:lineRule="auto"/>
              <w:ind w:left="-8" w:firstLine="0"/>
              <w:jc w:val="left"/>
              <w:rPr>
                <w:rFonts w:hint="eastAsia" w:ascii="宋体" w:hAnsi="宋体" w:eastAsia="宋体" w:cs="宋体"/>
                <w:kern w:val="0"/>
                <w:szCs w:val="21"/>
                <w:highlight w:val="none"/>
              </w:rPr>
            </w:pPr>
            <w:r>
              <w:rPr>
                <w:rFonts w:hint="eastAsia" w:ascii="宋体" w:hAnsi="宋体" w:cs="宋体"/>
                <w:kern w:val="0"/>
                <w:szCs w:val="21"/>
                <w:highlight w:val="none"/>
              </w:rPr>
              <w:t>投标文件递交方式</w:t>
            </w:r>
            <w:r>
              <w:rPr>
                <w:rFonts w:hint="eastAsia" w:ascii="宋体" w:hAnsi="宋体" w:cs="宋体"/>
                <w:kern w:val="0"/>
                <w:szCs w:val="21"/>
                <w:highlight w:val="none"/>
                <w:lang w:val="en-US" w:eastAsia="zh-CN"/>
              </w:rPr>
              <w:t>书面</w:t>
            </w:r>
            <w:r>
              <w:rPr>
                <w:rFonts w:hint="eastAsia" w:ascii="宋体" w:hAnsi="宋体" w:cs="宋体"/>
                <w:kern w:val="0"/>
                <w:szCs w:val="21"/>
                <w:highlight w:val="none"/>
              </w:rPr>
              <w:t>递交</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递交地址：</w:t>
            </w:r>
            <w:r>
              <w:rPr>
                <w:rFonts w:hint="eastAsia" w:ascii="宋体" w:hAnsi="宋体" w:eastAsia="宋体" w:cs="宋体"/>
                <w:kern w:val="0"/>
                <w:szCs w:val="21"/>
                <w:highlight w:val="none"/>
              </w:rPr>
              <w:t>成都市武侯区二环路西一段90号四川高速大厦八楼A082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项目开标室。</w:t>
            </w:r>
          </w:p>
          <w:p>
            <w:pPr>
              <w:pStyle w:val="5"/>
              <w:adjustRightInd w:val="0"/>
              <w:spacing w:line="360" w:lineRule="auto"/>
              <w:jc w:val="left"/>
              <w:rPr>
                <w:rFonts w:hAnsi="宋体" w:cs="宋体"/>
                <w:b/>
                <w:bCs/>
                <w:highlight w:val="none"/>
                <w:u w:val="single"/>
              </w:rPr>
            </w:pPr>
            <w:r>
              <w:rPr>
                <w:rFonts w:hint="eastAsia" w:hAnsi="宋体" w:cs="宋体"/>
                <w:b/>
                <w:bCs/>
                <w:kern w:val="0"/>
                <w:highlight w:val="none"/>
                <w:u w:val="single"/>
              </w:rPr>
              <w:t>正本1份、副本1份。</w:t>
            </w:r>
            <w:r>
              <w:rPr>
                <w:rFonts w:hint="eastAsia" w:hAnsi="宋体" w:cs="宋体"/>
                <w:b/>
                <w:bCs/>
                <w:highlight w:val="none"/>
                <w:u w:val="single"/>
              </w:rPr>
              <w:t>电子文档（U盘）一份（U盘内容包括：正本扫描件1份、word文档版投标文件1份）。</w:t>
            </w:r>
          </w:p>
          <w:p>
            <w:pPr>
              <w:pStyle w:val="3"/>
              <w:adjustRightInd/>
              <w:spacing w:line="360" w:lineRule="auto"/>
              <w:ind w:left="-8" w:firstLine="0"/>
              <w:jc w:val="left"/>
              <w:rPr>
                <w:rFonts w:hint="eastAsia" w:ascii="宋体" w:hAnsi="宋体" w:eastAsia="宋体" w:cs="宋体"/>
                <w:kern w:val="0"/>
                <w:szCs w:val="21"/>
                <w:highlight w:val="none"/>
              </w:rPr>
            </w:pPr>
            <w:r>
              <w:rPr>
                <w:rFonts w:hint="eastAsia" w:hAnsi="宋体" w:cs="宋体"/>
                <w:kern w:val="0"/>
                <w:highlight w:val="none"/>
              </w:rPr>
              <w:t>当</w:t>
            </w:r>
            <w:r>
              <w:rPr>
                <w:rFonts w:hint="eastAsia" w:hAnsi="宋体" w:cs="宋体"/>
                <w:kern w:val="0"/>
                <w:highlight w:val="none"/>
                <w:lang w:val="en-US" w:eastAsia="zh-CN"/>
              </w:rPr>
              <w:t>正本</w:t>
            </w:r>
            <w:r>
              <w:rPr>
                <w:rFonts w:hint="eastAsia" w:hAnsi="宋体" w:cs="宋体"/>
                <w:kern w:val="0"/>
                <w:highlight w:val="none"/>
              </w:rPr>
              <w:t>和</w:t>
            </w:r>
            <w:r>
              <w:rPr>
                <w:rFonts w:hint="eastAsia" w:hAnsi="宋体" w:cs="宋体"/>
                <w:kern w:val="0"/>
                <w:highlight w:val="none"/>
                <w:lang w:val="en-US" w:eastAsia="zh-CN"/>
              </w:rPr>
              <w:t>副本</w:t>
            </w:r>
            <w:r>
              <w:rPr>
                <w:rFonts w:hint="eastAsia" w:hAnsi="宋体" w:cs="宋体"/>
                <w:kern w:val="0"/>
                <w:highlight w:val="none"/>
              </w:rPr>
              <w:t>不一致时，以正本为准，当正本</w:t>
            </w:r>
            <w:r>
              <w:rPr>
                <w:rFonts w:hint="eastAsia" w:hAnsi="宋体" w:cs="宋体"/>
                <w:kern w:val="0"/>
                <w:highlight w:val="none"/>
                <w:lang w:val="en-US" w:eastAsia="zh-CN"/>
              </w:rPr>
              <w:t>和副本</w:t>
            </w:r>
            <w:r>
              <w:rPr>
                <w:rFonts w:hint="eastAsia" w:hAnsi="宋体" w:cs="宋体"/>
                <w:kern w:val="0"/>
                <w:highlight w:val="none"/>
              </w:rPr>
              <w:t>内容不一致造成的评标差错由投标人自行承担。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240" w:lineRule="auto"/>
              <w:jc w:val="center"/>
              <w:rPr>
                <w:rFonts w:ascii="宋体"/>
                <w:szCs w:val="21"/>
                <w:highlight w:val="none"/>
              </w:rPr>
            </w:pPr>
            <w:r>
              <w:rPr>
                <w:rFonts w:ascii="宋体" w:hAnsi="宋体"/>
                <w:szCs w:val="21"/>
                <w:highlight w:val="none"/>
              </w:rPr>
              <w:t>4.1.2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投标文件的密封</w:t>
            </w:r>
          </w:p>
        </w:tc>
        <w:tc>
          <w:tcPr>
            <w:tcW w:w="3261" w:type="pct"/>
            <w:shd w:val="clear" w:color="000000" w:fill="auto"/>
            <w:noWrap w:val="0"/>
            <w:vAlign w:val="center"/>
          </w:tcPr>
          <w:p>
            <w:pPr>
              <w:spacing w:line="360" w:lineRule="auto"/>
              <w:jc w:val="both"/>
              <w:rPr>
                <w:rFonts w:ascii="宋体"/>
                <w:szCs w:val="21"/>
                <w:highlight w:val="none"/>
              </w:rPr>
            </w:pPr>
            <w:r>
              <w:rPr>
                <w:rFonts w:hint="eastAsia"/>
                <w:bCs/>
                <w:highlight w:val="none"/>
                <w:lang w:val="en-US"/>
              </w:rPr>
              <w:t>投标文件应在其封套的封口处加贴封条，并在封套的封口处加盖投标人单位章（鲜章）。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16" w:type="pct"/>
            <w:shd w:val="clear" w:color="000000" w:fill="auto"/>
            <w:noWrap w:val="0"/>
            <w:vAlign w:val="center"/>
          </w:tcPr>
          <w:p>
            <w:pPr>
              <w:spacing w:line="240" w:lineRule="auto"/>
              <w:jc w:val="center"/>
              <w:rPr>
                <w:rFonts w:ascii="宋体"/>
                <w:szCs w:val="21"/>
                <w:highlight w:val="none"/>
              </w:rPr>
            </w:pPr>
            <w:r>
              <w:rPr>
                <w:rFonts w:ascii="宋体" w:hAnsi="宋体"/>
                <w:szCs w:val="21"/>
                <w:highlight w:val="none"/>
              </w:rPr>
              <w:t>5.1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开标时间和地点</w:t>
            </w:r>
          </w:p>
        </w:tc>
        <w:tc>
          <w:tcPr>
            <w:tcW w:w="3261" w:type="pct"/>
            <w:shd w:val="clear" w:color="000000" w:fill="auto"/>
            <w:noWrap w:val="0"/>
            <w:vAlign w:val="center"/>
          </w:tcPr>
          <w:p>
            <w:pPr>
              <w:spacing w:line="360" w:lineRule="auto"/>
              <w:jc w:val="left"/>
              <w:rPr>
                <w:rFonts w:ascii="宋体"/>
                <w:szCs w:val="21"/>
                <w:highlight w:val="none"/>
              </w:rPr>
            </w:pPr>
            <w:r>
              <w:rPr>
                <w:rFonts w:hint="eastAsia" w:ascii="宋体" w:hAnsi="宋体"/>
                <w:szCs w:val="21"/>
                <w:highlight w:val="none"/>
              </w:rPr>
              <w:t>开标时间：同投标截止时间。</w:t>
            </w:r>
          </w:p>
          <w:p>
            <w:pPr>
              <w:spacing w:line="360" w:lineRule="auto"/>
              <w:jc w:val="left"/>
              <w:rPr>
                <w:rFonts w:ascii="宋体" w:hAnsi="宋体"/>
                <w:szCs w:val="21"/>
                <w:highlight w:val="none"/>
                <w:u w:val="single"/>
              </w:rPr>
            </w:pPr>
            <w:r>
              <w:rPr>
                <w:rFonts w:hint="eastAsia" w:ascii="宋体" w:hAnsi="宋体"/>
                <w:szCs w:val="21"/>
                <w:highlight w:val="none"/>
              </w:rPr>
              <w:t>开标地点：</w:t>
            </w:r>
            <w:r>
              <w:rPr>
                <w:rFonts w:ascii="宋体" w:hAnsi="宋体"/>
                <w:szCs w:val="21"/>
                <w:highlight w:val="none"/>
                <w:u w:val="single"/>
              </w:rPr>
              <w:t xml:space="preserve"> </w:t>
            </w:r>
            <w:r>
              <w:rPr>
                <w:rFonts w:hint="eastAsia" w:ascii="宋体" w:hAnsi="宋体" w:eastAsia="宋体" w:cs="宋体"/>
                <w:kern w:val="0"/>
                <w:szCs w:val="21"/>
                <w:highlight w:val="none"/>
                <w:u w:val="single"/>
              </w:rPr>
              <w:t>成都市武侯区二环路西一段90号四川高速大厦八楼A082</w:t>
            </w:r>
            <w:r>
              <w:rPr>
                <w:rFonts w:hint="eastAsia" w:ascii="宋体" w:hAnsi="宋体" w:eastAsia="宋体" w:cs="宋体"/>
                <w:kern w:val="0"/>
                <w:szCs w:val="21"/>
                <w:highlight w:val="none"/>
                <w:u w:val="single"/>
                <w:lang w:val="en-US" w:eastAsia="zh-CN"/>
              </w:rPr>
              <w:t>6</w:t>
            </w:r>
            <w:r>
              <w:rPr>
                <w:rFonts w:hint="eastAsia" w:ascii="宋体" w:hAnsi="宋体" w:eastAsia="宋体" w:cs="宋体"/>
                <w:kern w:val="0"/>
                <w:szCs w:val="21"/>
                <w:highlight w:val="none"/>
                <w:u w:val="single"/>
              </w:rPr>
              <w:t>项目开标室</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5.2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开标程序</w:t>
            </w:r>
          </w:p>
        </w:tc>
        <w:tc>
          <w:tcPr>
            <w:tcW w:w="3261" w:type="pct"/>
            <w:shd w:val="clear" w:color="000000" w:fill="auto"/>
            <w:noWrap w:val="0"/>
            <w:vAlign w:val="center"/>
          </w:tcPr>
          <w:p>
            <w:pPr>
              <w:spacing w:line="360" w:lineRule="auto"/>
              <w:jc w:val="left"/>
              <w:rPr>
                <w:rFonts w:ascii="宋体"/>
                <w:szCs w:val="21"/>
                <w:highlight w:val="none"/>
                <w:u w:val="single"/>
              </w:rPr>
            </w:pPr>
            <w:r>
              <w:rPr>
                <w:rFonts w:hint="eastAsia" w:ascii="宋体" w:hAnsi="宋体"/>
                <w:szCs w:val="21"/>
                <w:highlight w:val="none"/>
              </w:rPr>
              <w:t>见须知正文。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6.1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评标委员会组建</w:t>
            </w:r>
          </w:p>
        </w:tc>
        <w:tc>
          <w:tcPr>
            <w:tcW w:w="3261" w:type="pct"/>
            <w:shd w:val="clear" w:color="000000" w:fill="auto"/>
            <w:noWrap w:val="0"/>
            <w:vAlign w:val="center"/>
          </w:tcPr>
          <w:p>
            <w:pPr>
              <w:spacing w:line="360" w:lineRule="auto"/>
              <w:jc w:val="left"/>
              <w:rPr>
                <w:rFonts w:ascii="宋体"/>
                <w:szCs w:val="21"/>
                <w:highlight w:val="none"/>
                <w:u w:val="single"/>
              </w:rPr>
            </w:pPr>
            <w:r>
              <w:rPr>
                <w:rFonts w:hint="eastAsia" w:ascii="宋体" w:hAnsi="宋体"/>
                <w:szCs w:val="21"/>
                <w:highlight w:val="none"/>
              </w:rPr>
              <w:t>评标委员会共</w:t>
            </w:r>
            <w:r>
              <w:rPr>
                <w:rFonts w:ascii="宋体" w:hAnsi="宋体"/>
                <w:szCs w:val="21"/>
                <w:highlight w:val="none"/>
                <w:u w:val="single"/>
              </w:rPr>
              <w:t xml:space="preserve"> </w:t>
            </w:r>
            <w:r>
              <w:rPr>
                <w:rFonts w:hint="eastAsia" w:ascii="宋体" w:hAnsi="宋体"/>
                <w:szCs w:val="21"/>
                <w:highlight w:val="none"/>
                <w:u w:val="single"/>
                <w:lang w:val="en-US" w:eastAsia="zh-CN"/>
              </w:rPr>
              <w:t>5</w:t>
            </w:r>
            <w:r>
              <w:rPr>
                <w:rFonts w:ascii="宋体" w:hAnsi="宋体"/>
                <w:szCs w:val="21"/>
                <w:highlight w:val="none"/>
                <w:u w:val="single"/>
              </w:rPr>
              <w:t xml:space="preserve"> </w:t>
            </w:r>
            <w:r>
              <w:rPr>
                <w:rFonts w:hint="eastAsia" w:ascii="宋体" w:hAnsi="宋体"/>
                <w:szCs w:val="21"/>
                <w:highlight w:val="none"/>
              </w:rPr>
              <w:t>人（其中评标专家：</w:t>
            </w:r>
            <w:r>
              <w:rPr>
                <w:rFonts w:hint="eastAsia" w:ascii="宋体" w:hAnsi="宋体"/>
                <w:szCs w:val="21"/>
                <w:highlight w:val="none"/>
                <w:lang w:val="en-US" w:eastAsia="zh-CN"/>
              </w:rPr>
              <w:t>4</w:t>
            </w:r>
            <w:r>
              <w:rPr>
                <w:rFonts w:hint="eastAsia" w:ascii="宋体" w:hAnsi="宋体"/>
                <w:szCs w:val="21"/>
                <w:highlight w:val="none"/>
              </w:rPr>
              <w:t>人，业主代表</w:t>
            </w:r>
            <w:r>
              <w:rPr>
                <w:rFonts w:hint="eastAsia" w:ascii="宋体" w:hAnsi="宋体"/>
                <w:szCs w:val="21"/>
                <w:highlight w:val="none"/>
                <w:lang w:val="en-US" w:eastAsia="zh-CN"/>
              </w:rPr>
              <w:t>1</w:t>
            </w:r>
            <w:r>
              <w:rPr>
                <w:rFonts w:hint="eastAsia" w:ascii="宋体" w:hAnsi="宋体"/>
                <w:szCs w:val="21"/>
                <w:highlight w:val="none"/>
              </w:rPr>
              <w:t>人），评标委员会的组成和评标专家的确定方式按川府发〔</w:t>
            </w:r>
            <w:r>
              <w:rPr>
                <w:rFonts w:ascii="宋体" w:hAnsi="宋体"/>
                <w:szCs w:val="21"/>
                <w:highlight w:val="none"/>
              </w:rPr>
              <w:t>2007</w:t>
            </w:r>
            <w:r>
              <w:rPr>
                <w:rFonts w:hint="eastAsia" w:ascii="宋体" w:hAnsi="宋体"/>
                <w:szCs w:val="21"/>
                <w:highlight w:val="none"/>
              </w:rPr>
              <w:t>〕</w:t>
            </w:r>
            <w:r>
              <w:rPr>
                <w:rFonts w:ascii="宋体" w:hAnsi="宋体"/>
                <w:szCs w:val="21"/>
                <w:highlight w:val="none"/>
              </w:rPr>
              <w:t>14</w:t>
            </w:r>
            <w:r>
              <w:rPr>
                <w:rFonts w:hint="eastAsia" w:ascii="宋体" w:hAnsi="宋体"/>
                <w:szCs w:val="21"/>
                <w:highlight w:val="none"/>
              </w:rPr>
              <w:t>号第（二十一）条和川发改政策</w:t>
            </w:r>
            <w:r>
              <w:rPr>
                <w:rFonts w:ascii="宋体" w:hAnsi="宋体"/>
                <w:szCs w:val="21"/>
                <w:highlight w:val="none"/>
              </w:rPr>
              <w:t>[2007]666</w:t>
            </w:r>
            <w:r>
              <w:rPr>
                <w:rFonts w:hint="eastAsia" w:ascii="宋体" w:hAnsi="宋体"/>
                <w:szCs w:val="21"/>
                <w:highlight w:val="none"/>
              </w:rPr>
              <w:t>号第十五条、川府发【</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62</w:t>
            </w:r>
            <w:r>
              <w:rPr>
                <w:rFonts w:hint="eastAsia" w:ascii="宋体" w:hAnsi="宋体"/>
                <w:szCs w:val="21"/>
                <w:highlight w:val="none"/>
              </w:rPr>
              <w:t>号文件规定执行。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240" w:lineRule="auto"/>
              <w:jc w:val="center"/>
              <w:rPr>
                <w:rFonts w:ascii="宋体"/>
                <w:szCs w:val="21"/>
                <w:highlight w:val="none"/>
              </w:rPr>
            </w:pPr>
            <w:r>
              <w:rPr>
                <w:rFonts w:ascii="宋体" w:hAnsi="宋体"/>
                <w:szCs w:val="21"/>
                <w:highlight w:val="none"/>
              </w:rPr>
              <w:t>6.3</w:t>
            </w:r>
          </w:p>
        </w:tc>
        <w:tc>
          <w:tcPr>
            <w:tcW w:w="1221" w:type="pct"/>
            <w:shd w:val="clear" w:color="000000" w:fill="auto"/>
            <w:noWrap w:val="0"/>
            <w:vAlign w:val="center"/>
          </w:tcPr>
          <w:p>
            <w:pPr>
              <w:spacing w:line="240" w:lineRule="auto"/>
              <w:jc w:val="center"/>
              <w:rPr>
                <w:rFonts w:ascii="宋体"/>
                <w:szCs w:val="21"/>
                <w:highlight w:val="none"/>
              </w:rPr>
            </w:pPr>
            <w:r>
              <w:rPr>
                <w:rFonts w:hint="eastAsia" w:ascii="宋体" w:hAnsi="宋体"/>
                <w:szCs w:val="21"/>
                <w:highlight w:val="none"/>
              </w:rPr>
              <w:t>评标办法</w:t>
            </w:r>
          </w:p>
        </w:tc>
        <w:tc>
          <w:tcPr>
            <w:tcW w:w="3261" w:type="pct"/>
            <w:shd w:val="clear" w:color="000000" w:fill="auto"/>
            <w:noWrap w:val="0"/>
            <w:vAlign w:val="center"/>
          </w:tcPr>
          <w:p>
            <w:pPr>
              <w:spacing w:line="240" w:lineRule="auto"/>
              <w:jc w:val="left"/>
              <w:rPr>
                <w:rFonts w:ascii="宋体"/>
                <w:b/>
                <w:szCs w:val="21"/>
                <w:highlight w:val="none"/>
              </w:rPr>
            </w:pPr>
            <w:r>
              <w:rPr>
                <w:rFonts w:hint="eastAsia" w:ascii="宋体" w:hAnsi="宋体"/>
                <w:b/>
                <w:szCs w:val="21"/>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7.1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是否授权评标委员会确定中标人</w:t>
            </w:r>
          </w:p>
        </w:tc>
        <w:tc>
          <w:tcPr>
            <w:tcW w:w="3261" w:type="pct"/>
            <w:shd w:val="clear" w:color="000000" w:fill="auto"/>
            <w:noWrap w:val="0"/>
            <w:vAlign w:val="center"/>
          </w:tcPr>
          <w:p>
            <w:pPr>
              <w:spacing w:line="360" w:lineRule="auto"/>
              <w:ind w:firstLine="420" w:firstLineChars="200"/>
              <w:jc w:val="left"/>
              <w:rPr>
                <w:rFonts w:ascii="宋体"/>
                <w:szCs w:val="21"/>
                <w:highlight w:val="none"/>
              </w:rPr>
            </w:pPr>
            <w:r>
              <w:rPr>
                <w:rFonts w:hint="eastAsia" w:ascii="宋体" w:hAnsi="宋体"/>
                <w:szCs w:val="21"/>
                <w:highlight w:val="none"/>
              </w:rPr>
              <w:t>□是</w:t>
            </w:r>
          </w:p>
          <w:p>
            <w:pPr>
              <w:spacing w:line="360" w:lineRule="auto"/>
              <w:ind w:firstLine="420" w:firstLineChars="200"/>
              <w:jc w:val="left"/>
              <w:rPr>
                <w:rFonts w:ascii="宋体"/>
                <w:szCs w:val="21"/>
                <w:highlight w:val="none"/>
              </w:rPr>
            </w:pPr>
            <w:r>
              <w:rPr>
                <w:rFonts w:hint="eastAsia" w:ascii="宋体" w:hAnsi="宋体"/>
                <w:szCs w:val="21"/>
                <w:highlight w:val="none"/>
              </w:rPr>
              <w:sym w:font="Wingdings 2" w:char="0052"/>
            </w:r>
            <w:r>
              <w:rPr>
                <w:rFonts w:hint="eastAsia" w:ascii="宋体" w:hAnsi="宋体"/>
                <w:szCs w:val="21"/>
                <w:highlight w:val="none"/>
              </w:rPr>
              <w:t>否，推荐的中标候选人数：</w:t>
            </w:r>
            <w:r>
              <w:rPr>
                <w:rFonts w:ascii="宋体" w:hAnsi="宋体"/>
                <w:szCs w:val="21"/>
                <w:highlight w:val="none"/>
              </w:rPr>
              <w:t>1</w:t>
            </w:r>
            <w:r>
              <w:rPr>
                <w:rFonts w:hint="eastAsia" w:ascii="宋体" w:hAnsi="宋体"/>
                <w:szCs w:val="21"/>
                <w:highlight w:val="none"/>
              </w:rPr>
              <w:t>至</w:t>
            </w:r>
            <w:r>
              <w:rPr>
                <w:rFonts w:ascii="宋体" w:hAnsi="宋体"/>
                <w:szCs w:val="21"/>
                <w:highlight w:val="none"/>
              </w:rPr>
              <w:t>3</w:t>
            </w:r>
            <w:r>
              <w:rPr>
                <w:rFonts w:hint="eastAsia" w:ascii="宋体" w:hAnsi="宋体"/>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7.3</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履约担保</w:t>
            </w:r>
          </w:p>
        </w:tc>
        <w:tc>
          <w:tcPr>
            <w:tcW w:w="3261" w:type="pct"/>
            <w:shd w:val="clear" w:color="000000" w:fill="auto"/>
            <w:noWrap w:val="0"/>
            <w:vAlign w:val="center"/>
          </w:tcPr>
          <w:p>
            <w:pPr>
              <w:spacing w:line="360" w:lineRule="auto"/>
              <w:ind w:firstLine="420" w:firstLineChars="200"/>
              <w:jc w:val="both"/>
              <w:rPr>
                <w:rFonts w:ascii="宋体"/>
                <w:szCs w:val="21"/>
                <w:highlight w:val="none"/>
              </w:rPr>
            </w:pPr>
            <w:r>
              <w:rPr>
                <w:rFonts w:hint="eastAsia" w:ascii="宋体" w:hAnsi="宋体"/>
                <w:szCs w:val="21"/>
                <w:highlight w:val="none"/>
              </w:rPr>
              <w:t>履约担保金：</w:t>
            </w:r>
            <w:r>
              <w:rPr>
                <w:rFonts w:hint="eastAsia" w:ascii="宋体" w:hAnsi="宋体"/>
                <w:b/>
                <w:bCs/>
                <w:szCs w:val="21"/>
                <w:highlight w:val="none"/>
                <w:u w:val="double"/>
              </w:rPr>
              <w:t>中标价的</w:t>
            </w:r>
            <w:r>
              <w:rPr>
                <w:rFonts w:ascii="宋体" w:hAnsi="宋体"/>
                <w:b/>
                <w:bCs/>
                <w:szCs w:val="21"/>
                <w:highlight w:val="none"/>
                <w:u w:val="double"/>
              </w:rPr>
              <w:t xml:space="preserve"> </w:t>
            </w:r>
            <w:r>
              <w:rPr>
                <w:rFonts w:hint="eastAsia" w:ascii="宋体" w:hAnsi="宋体"/>
                <w:b/>
                <w:bCs/>
                <w:szCs w:val="21"/>
                <w:highlight w:val="none"/>
                <w:u w:val="double"/>
                <w:lang w:val="en-US" w:eastAsia="zh-CN"/>
              </w:rPr>
              <w:t>5</w:t>
            </w:r>
            <w:r>
              <w:rPr>
                <w:rFonts w:ascii="宋体" w:hAnsi="宋体"/>
                <w:b/>
                <w:bCs/>
                <w:szCs w:val="21"/>
                <w:highlight w:val="none"/>
                <w:u w:val="double"/>
              </w:rPr>
              <w:t xml:space="preserve"> %</w:t>
            </w:r>
            <w:r>
              <w:rPr>
                <w:rFonts w:hint="eastAsia" w:ascii="宋体" w:hAnsi="宋体"/>
                <w:szCs w:val="21"/>
                <w:highlight w:val="none"/>
              </w:rPr>
              <w:t>。</w:t>
            </w:r>
          </w:p>
          <w:p>
            <w:pPr>
              <w:spacing w:line="360" w:lineRule="auto"/>
              <w:ind w:firstLine="420" w:firstLineChars="200"/>
              <w:jc w:val="both"/>
              <w:rPr>
                <w:rFonts w:ascii="宋体"/>
                <w:szCs w:val="21"/>
                <w:highlight w:val="none"/>
              </w:rPr>
            </w:pPr>
            <w:r>
              <w:rPr>
                <w:rFonts w:hint="eastAsia" w:ascii="宋体" w:hAnsi="宋体"/>
                <w:szCs w:val="21"/>
                <w:highlight w:val="none"/>
              </w:rPr>
              <w:t>履约担保的形式：</w:t>
            </w:r>
            <w:r>
              <w:rPr>
                <w:rFonts w:hint="eastAsia"/>
                <w:highlight w:val="none"/>
              </w:rPr>
              <w:t>银行保函或现金、支票等形式。</w:t>
            </w:r>
            <w:r>
              <w:rPr>
                <w:rFonts w:hint="eastAsia" w:ascii="宋体" w:hAnsi="宋体"/>
                <w:szCs w:val="21"/>
                <w:highlight w:val="none"/>
              </w:rPr>
              <w:t>现金担保必须通过中标人的基本账户以银行转账方式缴纳，保函担保应符合招标文件第四章“合同条款和格式”规定的履约担保格式要求。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7.3.2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投标报价</w:t>
            </w:r>
          </w:p>
        </w:tc>
        <w:tc>
          <w:tcPr>
            <w:tcW w:w="3261" w:type="pct"/>
            <w:shd w:val="clear" w:color="000000" w:fill="auto"/>
            <w:noWrap w:val="0"/>
            <w:vAlign w:val="top"/>
          </w:tcPr>
          <w:p>
            <w:pPr>
              <w:spacing w:line="360" w:lineRule="auto"/>
              <w:ind w:firstLine="420" w:firstLineChars="200"/>
              <w:jc w:val="left"/>
              <w:rPr>
                <w:rFonts w:ascii="宋体"/>
                <w:b/>
                <w:bCs/>
                <w:szCs w:val="21"/>
                <w:highlight w:val="none"/>
              </w:rPr>
            </w:pPr>
            <w:r>
              <w:rPr>
                <w:rFonts w:hint="eastAsia" w:ascii="宋体" w:hAnsi="宋体"/>
                <w:szCs w:val="21"/>
                <w:highlight w:val="none"/>
              </w:rPr>
              <w:t>投标人可根据项目具体情况和自身服务成本等自行报价，报价不得超过招标人设定的最高限价，</w:t>
            </w:r>
            <w:r>
              <w:rPr>
                <w:rFonts w:hint="eastAsia" w:ascii="宋体" w:hAnsi="宋体"/>
                <w:b/>
                <w:bCs/>
                <w:szCs w:val="21"/>
                <w:highlight w:val="none"/>
              </w:rPr>
              <w:t>超过最高限价</w:t>
            </w:r>
            <w:r>
              <w:rPr>
                <w:rFonts w:hint="eastAsia" w:ascii="宋体" w:hAnsi="宋体"/>
                <w:b/>
                <w:bCs/>
                <w:szCs w:val="21"/>
                <w:highlight w:val="none"/>
                <w:lang w:val="en-US" w:eastAsia="zh-CN"/>
              </w:rPr>
              <w:t>或低于最高限价90%</w:t>
            </w:r>
            <w:r>
              <w:rPr>
                <w:rFonts w:hint="eastAsia" w:ascii="宋体" w:hAnsi="宋体"/>
                <w:b/>
                <w:bCs/>
                <w:szCs w:val="21"/>
                <w:highlight w:val="none"/>
              </w:rPr>
              <w:t>的直接按废标处理。</w:t>
            </w:r>
          </w:p>
          <w:p>
            <w:pPr>
              <w:keepNext w:val="0"/>
              <w:keepLines w:val="0"/>
              <w:pageBreakBefore w:val="0"/>
              <w:widowControl/>
              <w:tabs>
                <w:tab w:val="left" w:pos="900"/>
                <w:tab w:val="left" w:pos="1100"/>
              </w:tabs>
              <w:kinsoku/>
              <w:wordWrap/>
              <w:overflowPunct/>
              <w:topLinePunct w:val="0"/>
              <w:autoSpaceDE/>
              <w:autoSpaceDN/>
              <w:bidi w:val="0"/>
              <w:adjustRightInd/>
              <w:snapToGrid/>
              <w:spacing w:line="240" w:lineRule="auto"/>
              <w:ind w:firstLine="422" w:firstLineChars="200"/>
              <w:textAlignment w:val="auto"/>
              <w:rPr>
                <w:rFonts w:hint="eastAsia" w:ascii="宋体" w:eastAsia="宋体"/>
                <w:szCs w:val="21"/>
                <w:highlight w:val="none"/>
                <w:lang w:eastAsia="zh-CN"/>
              </w:rPr>
            </w:pPr>
            <w:r>
              <w:rPr>
                <w:rFonts w:hint="eastAsia" w:ascii="宋体"/>
                <w:b/>
                <w:color w:val="auto"/>
                <w:szCs w:val="21"/>
                <w:highlight w:val="none"/>
                <w:u w:val="double"/>
                <w:lang w:val="en-US" w:eastAsia="zh-CN"/>
              </w:rPr>
              <w:t>监理服务</w:t>
            </w:r>
            <w:r>
              <w:rPr>
                <w:rFonts w:hint="eastAsia" w:ascii="宋体"/>
                <w:b/>
                <w:color w:val="auto"/>
                <w:szCs w:val="21"/>
                <w:highlight w:val="none"/>
                <w:u w:val="double"/>
              </w:rPr>
              <w:t>费招标控制价</w:t>
            </w:r>
            <w:r>
              <w:rPr>
                <w:rFonts w:hint="eastAsia" w:ascii="宋体" w:hAnsi="Times New Roman" w:eastAsia="宋体" w:cs="Times New Roman"/>
                <w:b/>
                <w:color w:val="auto"/>
                <w:szCs w:val="21"/>
                <w:highlight w:val="none"/>
                <w:u w:val="double"/>
              </w:rPr>
              <w:t>：</w:t>
            </w:r>
            <w:r>
              <w:rPr>
                <w:rFonts w:hint="eastAsia" w:ascii="宋体"/>
                <w:b/>
                <w:color w:val="auto"/>
                <w:szCs w:val="21"/>
                <w:highlight w:val="none"/>
                <w:u w:val="double"/>
              </w:rPr>
              <w:t>最高限</w:t>
            </w:r>
            <w:r>
              <w:rPr>
                <w:rFonts w:hint="eastAsia" w:ascii="宋体" w:hAnsi="Times New Roman" w:eastAsia="宋体" w:cs="Times New Roman"/>
                <w:b/>
                <w:color w:val="auto"/>
                <w:szCs w:val="21"/>
                <w:highlight w:val="none"/>
                <w:u w:val="double"/>
              </w:rPr>
              <w:t>价</w:t>
            </w:r>
            <w:r>
              <w:rPr>
                <w:rFonts w:hint="eastAsia" w:ascii="宋体" w:hAnsi="Times New Roman" w:eastAsia="宋体" w:cs="Times New Roman"/>
                <w:b/>
                <w:color w:val="auto"/>
                <w:szCs w:val="21"/>
                <w:highlight w:val="none"/>
                <w:u w:val="double"/>
                <w:lang w:val="en-US" w:eastAsia="zh-CN"/>
              </w:rPr>
              <w:t>2000000元</w:t>
            </w:r>
            <w:r>
              <w:rPr>
                <w:rFonts w:hint="eastAsia" w:ascii="宋体" w:cs="Times New Roman"/>
                <w:b/>
                <w:color w:val="auto"/>
                <w:szCs w:val="21"/>
                <w:highlight w:val="none"/>
                <w:u w:val="double"/>
                <w:lang w:val="en-US" w:eastAsia="zh-CN"/>
              </w:rPr>
              <w:t>、最低限价1800000元</w:t>
            </w:r>
            <w:r>
              <w:rPr>
                <w:rFonts w:hint="eastAsia" w:ascii="宋体" w:hAnsi="Times New Roman" w:eastAsia="宋体" w:cs="Times New Roman"/>
                <w:b/>
                <w:color w:val="auto"/>
                <w:szCs w:val="21"/>
                <w:highlight w:val="none"/>
                <w:u w:val="doub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10</w:t>
            </w:r>
          </w:p>
        </w:tc>
        <w:tc>
          <w:tcPr>
            <w:tcW w:w="4483" w:type="pct"/>
            <w:gridSpan w:val="2"/>
            <w:shd w:val="clear" w:color="000000" w:fill="auto"/>
            <w:noWrap w:val="0"/>
            <w:vAlign w:val="center"/>
          </w:tcPr>
          <w:p>
            <w:pPr>
              <w:jc w:val="center"/>
              <w:rPr>
                <w:rFonts w:ascii="宋体"/>
                <w:szCs w:val="21"/>
                <w:highlight w:val="none"/>
              </w:rPr>
            </w:pPr>
            <w:r>
              <w:rPr>
                <w:rFonts w:hint="eastAsia" w:ascii="宋体" w:hAnsi="宋体"/>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10.1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“暗标”评审</w:t>
            </w:r>
          </w:p>
        </w:tc>
        <w:tc>
          <w:tcPr>
            <w:tcW w:w="3261" w:type="pct"/>
            <w:shd w:val="clear" w:color="000000" w:fill="auto"/>
            <w:noWrap w:val="0"/>
            <w:vAlign w:val="center"/>
          </w:tcPr>
          <w:p>
            <w:pPr>
              <w:spacing w:line="360" w:lineRule="auto"/>
              <w:ind w:firstLine="420" w:firstLineChars="200"/>
              <w:jc w:val="left"/>
              <w:rPr>
                <w:highlight w:val="none"/>
              </w:rPr>
            </w:pPr>
            <w:r>
              <w:rPr>
                <w:rFonts w:hint="eastAsia"/>
                <w:highlight w:val="none"/>
              </w:rPr>
              <w:t>投标人应按“投标文件”中“监理大纲（暗标）编制要求”编制和装订监理规划或监理大纲。</w:t>
            </w:r>
          </w:p>
          <w:p>
            <w:pPr>
              <w:spacing w:line="360" w:lineRule="auto"/>
              <w:ind w:firstLine="420" w:firstLineChars="200"/>
              <w:jc w:val="left"/>
              <w:rPr>
                <w:highlight w:val="none"/>
              </w:rPr>
            </w:pPr>
            <w:r>
              <w:rPr>
                <w:rFonts w:hint="eastAsia"/>
                <w:highlight w:val="none"/>
              </w:rPr>
              <w:t>暗标的编制要求如下：</w:t>
            </w:r>
          </w:p>
          <w:p>
            <w:pPr>
              <w:spacing w:line="360" w:lineRule="auto"/>
              <w:ind w:firstLine="420" w:firstLineChars="200"/>
              <w:jc w:val="left"/>
              <w:rPr>
                <w:highlight w:val="none"/>
              </w:rPr>
            </w:pPr>
            <w:r>
              <w:rPr>
                <w:highlight w:val="none"/>
              </w:rPr>
              <w:t>1</w:t>
            </w:r>
            <w:r>
              <w:rPr>
                <w:rFonts w:hint="eastAsia"/>
                <w:highlight w:val="none"/>
              </w:rPr>
              <w:t>．字体：全篇文字仿宋四号字；</w:t>
            </w:r>
          </w:p>
          <w:p>
            <w:pPr>
              <w:spacing w:line="360" w:lineRule="auto"/>
              <w:ind w:firstLine="420" w:firstLineChars="200"/>
              <w:jc w:val="left"/>
              <w:rPr>
                <w:highlight w:val="none"/>
              </w:rPr>
            </w:pPr>
            <w:r>
              <w:rPr>
                <w:highlight w:val="none"/>
              </w:rPr>
              <w:t>2</w:t>
            </w:r>
            <w:r>
              <w:rPr>
                <w:rFonts w:hint="eastAsia"/>
                <w:highlight w:val="none"/>
              </w:rPr>
              <w:t>．颜色：全篇文字</w:t>
            </w:r>
            <w:r>
              <w:rPr>
                <w:rFonts w:hint="eastAsia"/>
                <w:highlight w:val="none"/>
                <w:lang w:val="en-US" w:eastAsia="zh-CN"/>
              </w:rPr>
              <w:t>文字</w:t>
            </w:r>
            <w:r>
              <w:rPr>
                <w:rFonts w:hint="eastAsia"/>
                <w:highlight w:val="none"/>
              </w:rPr>
              <w:t>黑色；</w:t>
            </w:r>
          </w:p>
          <w:p>
            <w:pPr>
              <w:spacing w:line="360" w:lineRule="auto"/>
              <w:ind w:firstLine="420" w:firstLineChars="200"/>
              <w:jc w:val="left"/>
              <w:rPr>
                <w:highlight w:val="none"/>
              </w:rPr>
            </w:pPr>
            <w:r>
              <w:rPr>
                <w:highlight w:val="none"/>
              </w:rPr>
              <w:t>3</w:t>
            </w:r>
            <w:r>
              <w:rPr>
                <w:rFonts w:hint="eastAsia"/>
                <w:highlight w:val="none"/>
              </w:rPr>
              <w:t>．段落：全篇文字单倍行距；</w:t>
            </w:r>
          </w:p>
          <w:p>
            <w:pPr>
              <w:spacing w:line="360" w:lineRule="auto"/>
              <w:ind w:firstLine="420" w:firstLineChars="200"/>
              <w:jc w:val="left"/>
              <w:rPr>
                <w:rFonts w:hint="eastAsia"/>
                <w:highlight w:val="none"/>
              </w:rPr>
            </w:pPr>
            <w:r>
              <w:rPr>
                <w:highlight w:val="none"/>
              </w:rPr>
              <w:t>4</w:t>
            </w:r>
            <w:r>
              <w:rPr>
                <w:rFonts w:hint="eastAsia"/>
                <w:highlight w:val="none"/>
              </w:rPr>
              <w:t>．内容：全篇文字不得出现投标人的名称和可识别投标人身份的字符、徽标、人员名称以及其他特殊标记等。若出现，则否决其投标。</w:t>
            </w:r>
          </w:p>
          <w:p>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密封方式：监理大纲（暗标）设置封面，封面内容为：监理大纲投标文件，在封面左下角加盖一个单位公章，并将公章折叠成一个边为30cm的三角形，直接用牛皮纸包封即可，包封无需加盖单位公章。</w:t>
            </w:r>
          </w:p>
          <w:p>
            <w:pPr>
              <w:spacing w:line="360" w:lineRule="auto"/>
              <w:ind w:firstLine="420" w:firstLineChars="200"/>
              <w:jc w:val="left"/>
              <w:rPr>
                <w:highlight w:val="none"/>
              </w:rPr>
            </w:pPr>
            <w:r>
              <w:rPr>
                <w:rFonts w:hint="eastAsia" w:ascii="Times New Roman" w:hAnsi="Times New Roman" w:eastAsia="宋体" w:cs="Times New Roman"/>
                <w:highlight w:val="none"/>
              </w:rPr>
              <w:t>递交方式：与资格审查文件和监理投标文件一起递交，监理大纲投标文件由招标人统一放置。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szCs w:val="21"/>
                <w:highlight w:val="none"/>
              </w:rPr>
            </w:pPr>
            <w:r>
              <w:rPr>
                <w:rFonts w:ascii="宋体" w:hAnsi="宋体"/>
                <w:szCs w:val="21"/>
                <w:highlight w:val="none"/>
              </w:rPr>
              <w:t>10.3</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szCs w:val="21"/>
                <w:highlight w:val="none"/>
              </w:rPr>
            </w:pPr>
            <w:r>
              <w:rPr>
                <w:rFonts w:hint="eastAsia" w:ascii="宋体" w:hAnsi="宋体"/>
                <w:szCs w:val="21"/>
                <w:highlight w:val="none"/>
              </w:rPr>
              <w:t>压证监理制度</w:t>
            </w:r>
          </w:p>
        </w:tc>
        <w:tc>
          <w:tcPr>
            <w:tcW w:w="32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ascii="宋体"/>
                <w:szCs w:val="21"/>
                <w:highlight w:val="none"/>
              </w:rPr>
            </w:pPr>
            <w:r>
              <w:rPr>
                <w:rFonts w:hint="eastAsia" w:ascii="宋体" w:hAnsi="宋体"/>
                <w:szCs w:val="21"/>
                <w:highlight w:val="none"/>
              </w:rPr>
              <w:t>按国家现行制度执行。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10.5</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报价唯一</w:t>
            </w:r>
          </w:p>
        </w:tc>
        <w:tc>
          <w:tcPr>
            <w:tcW w:w="3261" w:type="pct"/>
            <w:shd w:val="clear" w:color="000000" w:fill="auto"/>
            <w:noWrap w:val="0"/>
            <w:vAlign w:val="center"/>
          </w:tcPr>
          <w:p>
            <w:pPr>
              <w:spacing w:line="360" w:lineRule="auto"/>
              <w:jc w:val="left"/>
              <w:rPr>
                <w:rFonts w:ascii="宋体"/>
                <w:szCs w:val="21"/>
                <w:highlight w:val="none"/>
              </w:rPr>
            </w:pPr>
            <w:r>
              <w:rPr>
                <w:rFonts w:hint="eastAsia" w:ascii="宋体" w:hAnsi="宋体"/>
                <w:szCs w:val="21"/>
                <w:highlight w:val="none"/>
              </w:rPr>
              <w:t>只能有一个有效报价。即：投标报价文件（包括投标函）中的报价（金额按四舍五入的方法，精确到人民币元），不论其大写金额或小写金额均只能有一个，任何有选择和保留的报价将不予接受。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10.6</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中标价</w:t>
            </w:r>
          </w:p>
        </w:tc>
        <w:tc>
          <w:tcPr>
            <w:tcW w:w="3261" w:type="pct"/>
            <w:shd w:val="clear" w:color="000000" w:fill="auto"/>
            <w:noWrap w:val="0"/>
            <w:vAlign w:val="center"/>
          </w:tcPr>
          <w:p>
            <w:pPr>
              <w:spacing w:line="360" w:lineRule="auto"/>
              <w:ind w:firstLine="420" w:firstLineChars="200"/>
              <w:jc w:val="left"/>
              <w:rPr>
                <w:rFonts w:ascii="宋体"/>
                <w:szCs w:val="21"/>
                <w:highlight w:val="none"/>
              </w:rPr>
            </w:pPr>
            <w:r>
              <w:rPr>
                <w:rFonts w:hint="eastAsia" w:ascii="宋体" w:hAnsi="宋体"/>
                <w:szCs w:val="21"/>
                <w:highlight w:val="none"/>
              </w:rPr>
              <w:t>以中标人在投标函中的投标报价为准。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16" w:type="pct"/>
            <w:shd w:val="clear" w:color="000000" w:fill="auto"/>
            <w:noWrap w:val="0"/>
            <w:vAlign w:val="center"/>
          </w:tcPr>
          <w:p>
            <w:pPr>
              <w:spacing w:line="360" w:lineRule="auto"/>
              <w:jc w:val="center"/>
              <w:rPr>
                <w:rFonts w:ascii="宋体"/>
                <w:szCs w:val="21"/>
                <w:highlight w:val="none"/>
              </w:rPr>
            </w:pPr>
            <w:r>
              <w:rPr>
                <w:rFonts w:ascii="宋体" w:hAnsi="宋体"/>
                <w:szCs w:val="21"/>
                <w:highlight w:val="none"/>
              </w:rPr>
              <w:t>10.7</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确定中标人</w:t>
            </w:r>
          </w:p>
        </w:tc>
        <w:tc>
          <w:tcPr>
            <w:tcW w:w="3261" w:type="pct"/>
            <w:shd w:val="clear" w:color="000000" w:fill="auto"/>
            <w:noWrap w:val="0"/>
            <w:vAlign w:val="center"/>
          </w:tcPr>
          <w:p>
            <w:pPr>
              <w:spacing w:line="360" w:lineRule="auto"/>
              <w:ind w:firstLine="420" w:firstLineChars="200"/>
              <w:jc w:val="left"/>
              <w:rPr>
                <w:rFonts w:ascii="宋体"/>
                <w:szCs w:val="21"/>
                <w:highlight w:val="none"/>
              </w:rPr>
            </w:pPr>
            <w:r>
              <w:rPr>
                <w:rFonts w:hint="eastAsia" w:ascii="宋体" w:hAnsi="宋体"/>
                <w:szCs w:val="21"/>
                <w:highlight w:val="none"/>
              </w:rPr>
              <w:t>招标人（或招标人授权的评标委员会）按照评标委员会推荐中标候选人的</w:t>
            </w:r>
            <w:r>
              <w:rPr>
                <w:rFonts w:hint="eastAsia" w:ascii="宋体" w:hAnsi="宋体"/>
                <w:szCs w:val="21"/>
                <w:highlight w:val="none"/>
                <w:lang w:val="en-US" w:eastAsia="zh-CN"/>
              </w:rPr>
              <w:t>前三名</w:t>
            </w:r>
            <w:r>
              <w:rPr>
                <w:rFonts w:hint="eastAsia" w:ascii="宋体" w:hAnsi="宋体"/>
                <w:szCs w:val="21"/>
                <w:highlight w:val="none"/>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6" w:type="pct"/>
            <w:shd w:val="clear" w:color="000000" w:fill="auto"/>
            <w:noWrap w:val="0"/>
            <w:vAlign w:val="center"/>
          </w:tcPr>
          <w:p>
            <w:pPr>
              <w:spacing w:line="360" w:lineRule="auto"/>
              <w:ind w:firstLine="105" w:firstLineChars="50"/>
              <w:jc w:val="left"/>
              <w:rPr>
                <w:rFonts w:ascii="宋体"/>
                <w:szCs w:val="21"/>
                <w:highlight w:val="none"/>
              </w:rPr>
            </w:pPr>
            <w:r>
              <w:rPr>
                <w:rFonts w:ascii="宋体" w:hAnsi="宋体"/>
                <w:szCs w:val="21"/>
                <w:highlight w:val="none"/>
              </w:rPr>
              <w:t>10.8</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合同备案</w:t>
            </w:r>
          </w:p>
        </w:tc>
        <w:tc>
          <w:tcPr>
            <w:tcW w:w="3261" w:type="pct"/>
            <w:shd w:val="clear" w:color="000000" w:fill="auto"/>
            <w:noWrap w:val="0"/>
            <w:vAlign w:val="center"/>
          </w:tcPr>
          <w:p>
            <w:pPr>
              <w:spacing w:line="240" w:lineRule="auto"/>
              <w:rPr>
                <w:rFonts w:ascii="宋体"/>
                <w:szCs w:val="21"/>
                <w:highlight w:val="none"/>
              </w:rPr>
            </w:pPr>
            <w:r>
              <w:rPr>
                <w:rFonts w:hint="eastAsia" w:ascii="宋体" w:hAnsi="宋体"/>
                <w:szCs w:val="21"/>
                <w:highlight w:val="none"/>
              </w:rPr>
              <w:t>承包合同按有关规定及时备案。</w:t>
            </w:r>
          </w:p>
          <w:p>
            <w:pPr>
              <w:spacing w:line="240" w:lineRule="auto"/>
              <w:jc w:val="left"/>
              <w:rPr>
                <w:rFonts w:ascii="宋体"/>
                <w:szCs w:val="21"/>
                <w:highlight w:val="none"/>
              </w:rPr>
            </w:pPr>
            <w:r>
              <w:rPr>
                <w:rFonts w:hint="eastAsia" w:ascii="宋体" w:hAnsi="宋体"/>
                <w:szCs w:val="21"/>
                <w:highlight w:val="none"/>
              </w:rPr>
              <w:t>双方当事人就合同产生纠纷时，以备案的中标合同作为依据。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ind w:firstLine="105" w:firstLineChars="50"/>
              <w:jc w:val="left"/>
              <w:rPr>
                <w:rFonts w:ascii="宋体"/>
                <w:szCs w:val="21"/>
                <w:highlight w:val="none"/>
              </w:rPr>
            </w:pPr>
            <w:r>
              <w:rPr>
                <w:rFonts w:ascii="宋体" w:hAnsi="宋体"/>
                <w:szCs w:val="21"/>
                <w:highlight w:val="none"/>
              </w:rPr>
              <w:t>10.10</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投标文件的</w:t>
            </w:r>
          </w:p>
          <w:p>
            <w:pPr>
              <w:jc w:val="center"/>
              <w:rPr>
                <w:rFonts w:ascii="宋体"/>
                <w:szCs w:val="21"/>
                <w:highlight w:val="none"/>
              </w:rPr>
            </w:pPr>
            <w:r>
              <w:rPr>
                <w:rFonts w:hint="eastAsia" w:ascii="宋体" w:hAnsi="宋体"/>
                <w:szCs w:val="21"/>
                <w:highlight w:val="none"/>
              </w:rPr>
              <w:t>真实性要求</w:t>
            </w:r>
          </w:p>
        </w:tc>
        <w:tc>
          <w:tcPr>
            <w:tcW w:w="3261" w:type="pct"/>
            <w:shd w:val="clear" w:color="000000" w:fill="auto"/>
            <w:noWrap w:val="0"/>
            <w:vAlign w:val="center"/>
          </w:tcPr>
          <w:p>
            <w:pPr>
              <w:spacing w:line="360" w:lineRule="auto"/>
              <w:jc w:val="left"/>
              <w:rPr>
                <w:rFonts w:ascii="宋体"/>
                <w:szCs w:val="21"/>
                <w:highlight w:val="none"/>
              </w:rPr>
            </w:pPr>
            <w:r>
              <w:rPr>
                <w:rFonts w:hint="eastAsia" w:ascii="宋体" w:hAnsi="宋体"/>
                <w:szCs w:val="21"/>
                <w:highlight w:val="none"/>
              </w:rPr>
              <w:t>投标人所递交的投标文件（包括有关资料、澄清）应真实可信，不存在虚假（包括隐瞒）。</w:t>
            </w:r>
          </w:p>
          <w:p>
            <w:pPr>
              <w:spacing w:line="360" w:lineRule="auto"/>
              <w:jc w:val="left"/>
              <w:rPr>
                <w:rFonts w:ascii="宋体"/>
                <w:szCs w:val="21"/>
                <w:highlight w:val="none"/>
              </w:rPr>
            </w:pPr>
            <w:r>
              <w:rPr>
                <w:rFonts w:hint="eastAsia" w:ascii="宋体" w:hAnsi="宋体"/>
                <w:szCs w:val="21"/>
                <w:highlight w:val="none"/>
              </w:rPr>
              <w:t>投标人声明不存在限制投标情形但被发现存在限制投标情形的，构成隐瞒，属于虚假投标行为。</w:t>
            </w:r>
          </w:p>
          <w:p>
            <w:pPr>
              <w:spacing w:line="360" w:lineRule="auto"/>
              <w:jc w:val="left"/>
              <w:rPr>
                <w:rFonts w:ascii="宋体"/>
                <w:szCs w:val="21"/>
                <w:highlight w:val="none"/>
                <w:u w:val="single"/>
              </w:rPr>
            </w:pPr>
            <w:r>
              <w:rPr>
                <w:rFonts w:hint="eastAsia" w:ascii="宋体" w:hAnsi="宋体"/>
                <w:szCs w:val="21"/>
                <w:highlight w:val="none"/>
              </w:rPr>
              <w:t>如投标文件存在虚假，在评标阶段，评标委员会应将该投标文件作否决投标处理；中标候选人确定后发现的，招标人和招投标行政监督部门可以取消中标候选人或中标资格。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ind w:firstLine="105" w:firstLineChars="50"/>
              <w:jc w:val="left"/>
              <w:rPr>
                <w:rFonts w:ascii="宋体"/>
                <w:szCs w:val="21"/>
                <w:highlight w:val="none"/>
              </w:rPr>
            </w:pPr>
            <w:r>
              <w:rPr>
                <w:rFonts w:ascii="宋体" w:hAnsi="宋体"/>
                <w:szCs w:val="21"/>
                <w:highlight w:val="none"/>
              </w:rPr>
              <w:t>10.11</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招标文件内容冲突的解决及优先适用次序</w:t>
            </w:r>
          </w:p>
        </w:tc>
        <w:tc>
          <w:tcPr>
            <w:tcW w:w="3261" w:type="pct"/>
            <w:shd w:val="clear" w:color="000000" w:fill="auto"/>
            <w:noWrap w:val="0"/>
            <w:vAlign w:val="center"/>
          </w:tcPr>
          <w:p>
            <w:pPr>
              <w:spacing w:line="360" w:lineRule="auto"/>
              <w:jc w:val="left"/>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招标人发出的招标文件（包括修改、澄清或补遗文件）与招投标行政监督备案的招标文件不一致的，以备案的招标文件为准，并对不一致的地方进行修改。没有备案的招标文件（包括修改、澄清或补遗文件）不作为评标的依据。</w:t>
            </w:r>
          </w:p>
          <w:p>
            <w:pPr>
              <w:spacing w:line="360" w:lineRule="auto"/>
              <w:jc w:val="left"/>
              <w:rPr>
                <w:rFonts w:ascii="宋体"/>
                <w:szCs w:val="21"/>
                <w:highlight w:val="none"/>
                <w:u w:val="singl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）招标文件中招标人编制的内容前后有矛盾或不一致，有时间先后顺序的，以时间在后的修改、澄清或补正文件为准；没有时间先后顺序的，以公平的原则进行处理。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6" w:type="pct"/>
            <w:shd w:val="clear" w:color="000000" w:fill="auto"/>
            <w:noWrap w:val="0"/>
            <w:vAlign w:val="center"/>
          </w:tcPr>
          <w:p>
            <w:pPr>
              <w:spacing w:line="360" w:lineRule="auto"/>
              <w:ind w:firstLine="105" w:firstLineChars="50"/>
              <w:jc w:val="left"/>
              <w:rPr>
                <w:rFonts w:ascii="宋体"/>
                <w:szCs w:val="21"/>
                <w:highlight w:val="none"/>
              </w:rPr>
            </w:pPr>
            <w:r>
              <w:rPr>
                <w:rFonts w:ascii="宋体" w:hAnsi="宋体"/>
                <w:szCs w:val="21"/>
                <w:highlight w:val="none"/>
              </w:rPr>
              <w:t>10.12</w:t>
            </w:r>
          </w:p>
        </w:tc>
        <w:tc>
          <w:tcPr>
            <w:tcW w:w="1221" w:type="pct"/>
            <w:shd w:val="clear" w:color="000000" w:fill="auto"/>
            <w:noWrap w:val="0"/>
            <w:vAlign w:val="center"/>
          </w:tcPr>
          <w:p>
            <w:pPr>
              <w:jc w:val="center"/>
              <w:rPr>
                <w:rFonts w:ascii="宋体"/>
                <w:szCs w:val="21"/>
                <w:highlight w:val="none"/>
              </w:rPr>
            </w:pPr>
            <w:r>
              <w:rPr>
                <w:rFonts w:hint="eastAsia" w:ascii="宋体" w:hAnsi="宋体"/>
                <w:szCs w:val="21"/>
                <w:highlight w:val="none"/>
              </w:rPr>
              <w:t>招标人补充的</w:t>
            </w:r>
          </w:p>
          <w:p>
            <w:pPr>
              <w:jc w:val="center"/>
              <w:rPr>
                <w:rFonts w:ascii="宋体"/>
                <w:szCs w:val="21"/>
                <w:highlight w:val="none"/>
              </w:rPr>
            </w:pPr>
            <w:r>
              <w:rPr>
                <w:rFonts w:hint="eastAsia" w:ascii="宋体" w:hAnsi="宋体"/>
                <w:szCs w:val="21"/>
                <w:highlight w:val="none"/>
              </w:rPr>
              <w:t>其他内容</w:t>
            </w:r>
          </w:p>
        </w:tc>
        <w:tc>
          <w:tcPr>
            <w:tcW w:w="3261" w:type="pct"/>
            <w:shd w:val="clear" w:color="000000" w:fill="auto"/>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投标人或利害关系人对招标文件、开标、评标结果有异议的，应当依法向招标人提出。具体方法按照《关于进一步加强房屋建筑和市政基础设施工程招标投标监管的指导意见》（建市规〔2019〕11号）的规定执行</w:t>
            </w:r>
            <w:r>
              <w:rPr>
                <w:rFonts w:hint="eastAsia" w:ascii="宋体" w:hAnsi="宋体" w:eastAsia="宋体" w:cs="宋体"/>
                <w:sz w:val="21"/>
                <w:szCs w:val="21"/>
                <w:highlight w:val="none"/>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中标人放弃中标的处理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（1）投标截止时间后投标人不得撤销投标文件。投标人若撤销投标文件的，招标人将不予退还其投标保证金</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（2）中标人在收到中标通知书后，拒签合同协议书或未按招标文件规定提交履约担保，招标人将取消其中标资格，不予退还其投标保证金，并将上报省级交通运输主管部门给予信用处理</w:t>
            </w:r>
            <w:r>
              <w:rPr>
                <w:rFonts w:hint="eastAsia" w:ascii="宋体" w:hAnsi="宋体" w:eastAsia="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highlight w:val="none"/>
                <w:lang w:val="en-US" w:eastAsia="zh-CN"/>
              </w:rPr>
            </w:pPr>
            <w:r>
              <w:rPr>
                <w:rFonts w:hint="eastAsia" w:ascii="宋体" w:hAnsi="宋体" w:eastAsia="宋体" w:cs="宋体"/>
                <w:sz w:val="21"/>
                <w:szCs w:val="21"/>
                <w:highlight w:val="none"/>
              </w:rPr>
              <w:t>（3）合同协议书签订后，中标人放弃合同，招标人将不退还中标人履约担保，并将上报省级交通运输主管部门，作为不良记录纳入公路建设市场信用信息管理系统，同时承担相应的法律责任</w:t>
            </w:r>
            <w:r>
              <w:rPr>
                <w:rFonts w:hint="eastAsia" w:ascii="宋体" w:hAnsi="宋体" w:eastAsia="宋体" w:cs="宋体"/>
                <w:sz w:val="21"/>
                <w:szCs w:val="21"/>
                <w:highlight w:val="none"/>
                <w:lang w:eastAsia="zh-CN"/>
              </w:rPr>
              <w:t>。</w:t>
            </w:r>
          </w:p>
        </w:tc>
      </w:tr>
    </w:tbl>
    <w:p>
      <w:pPr>
        <w:pStyle w:val="11"/>
        <w:keepNext w:val="0"/>
        <w:keepLines w:val="0"/>
        <w:pageBreakBefore w:val="0"/>
        <w:numPr>
          <w:ilvl w:val="0"/>
          <w:numId w:val="0"/>
        </w:numPr>
        <w:tabs>
          <w:tab w:val="right" w:leader="dot" w:pos="8306"/>
        </w:tabs>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sz w:val="24"/>
          <w:szCs w:val="24"/>
          <w:highlight w:val="none"/>
          <w:lang w:eastAsia="zh-CN"/>
        </w:rPr>
      </w:pPr>
    </w:p>
    <w:p>
      <w:pPr>
        <w:pStyle w:val="11"/>
        <w:keepNext w:val="0"/>
        <w:keepLines w:val="0"/>
        <w:pageBreakBefore w:val="0"/>
        <w:numPr>
          <w:ilvl w:val="0"/>
          <w:numId w:val="1"/>
        </w:numPr>
        <w:tabs>
          <w:tab w:val="right" w:leader="dot" w:pos="8306"/>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w:t>
      </w:r>
      <w:r>
        <w:rPr>
          <w:rFonts w:hint="eastAsia" w:ascii="宋体" w:hAnsi="宋体" w:cs="宋体"/>
          <w:b/>
          <w:bCs/>
          <w:sz w:val="24"/>
          <w:szCs w:val="24"/>
          <w:highlight w:val="none"/>
          <w:lang w:val="en-US" w:eastAsia="zh-CN"/>
        </w:rPr>
        <w:t>招标文件</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评标办法（综合评估法）</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评标办法前附表</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84"/>
        <w:gridCol w:w="1951"/>
        <w:gridCol w:w="910"/>
        <w:gridCol w:w="4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pct"/>
            <w:gridSpan w:val="2"/>
            <w:noWrap w:val="0"/>
            <w:vAlign w:val="center"/>
          </w:tcPr>
          <w:p>
            <w:pPr>
              <w:jc w:val="center"/>
              <w:rPr>
                <w:rFonts w:ascii="宋体"/>
                <w:b/>
                <w:szCs w:val="24"/>
                <w:highlight w:val="none"/>
              </w:rPr>
            </w:pPr>
            <w:r>
              <w:rPr>
                <w:rFonts w:hint="eastAsia" w:ascii="宋体" w:hAnsi="宋体"/>
                <w:b/>
                <w:szCs w:val="24"/>
                <w:highlight w:val="none"/>
              </w:rPr>
              <w:t>条款号</w:t>
            </w:r>
          </w:p>
        </w:tc>
        <w:tc>
          <w:tcPr>
            <w:tcW w:w="1678" w:type="pct"/>
            <w:gridSpan w:val="2"/>
            <w:noWrap w:val="0"/>
            <w:vAlign w:val="center"/>
          </w:tcPr>
          <w:p>
            <w:pPr>
              <w:jc w:val="center"/>
              <w:rPr>
                <w:rFonts w:ascii="宋体"/>
                <w:b/>
                <w:szCs w:val="24"/>
                <w:highlight w:val="none"/>
              </w:rPr>
            </w:pPr>
            <w:r>
              <w:rPr>
                <w:rFonts w:hint="eastAsia" w:ascii="宋体" w:hAnsi="宋体"/>
                <w:b/>
                <w:szCs w:val="24"/>
                <w:highlight w:val="none"/>
              </w:rPr>
              <w:t>评审因素</w:t>
            </w:r>
          </w:p>
        </w:tc>
        <w:tc>
          <w:tcPr>
            <w:tcW w:w="2421" w:type="pct"/>
            <w:noWrap w:val="0"/>
            <w:vAlign w:val="center"/>
          </w:tcPr>
          <w:p>
            <w:pPr>
              <w:jc w:val="center"/>
              <w:rPr>
                <w:rFonts w:ascii="宋体"/>
                <w:b/>
                <w:szCs w:val="24"/>
                <w:highlight w:val="none"/>
              </w:rPr>
            </w:pPr>
            <w:r>
              <w:rPr>
                <w:rFonts w:hint="eastAsia" w:ascii="宋体" w:hAnsi="宋体"/>
                <w:b/>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restart"/>
            <w:noWrap w:val="0"/>
            <w:vAlign w:val="center"/>
          </w:tcPr>
          <w:p>
            <w:pPr>
              <w:spacing w:line="360" w:lineRule="auto"/>
              <w:jc w:val="center"/>
              <w:rPr>
                <w:rFonts w:ascii="宋体"/>
                <w:szCs w:val="24"/>
                <w:highlight w:val="none"/>
              </w:rPr>
            </w:pPr>
            <w:r>
              <w:rPr>
                <w:rFonts w:ascii="宋体" w:hAnsi="宋体"/>
                <w:szCs w:val="24"/>
                <w:highlight w:val="none"/>
              </w:rPr>
              <w:t>2.1.1</w:t>
            </w:r>
          </w:p>
        </w:tc>
        <w:tc>
          <w:tcPr>
            <w:tcW w:w="459" w:type="pct"/>
            <w:vMerge w:val="restart"/>
            <w:noWrap w:val="0"/>
            <w:vAlign w:val="center"/>
          </w:tcPr>
          <w:p>
            <w:pPr>
              <w:spacing w:line="360" w:lineRule="auto"/>
              <w:jc w:val="center"/>
              <w:rPr>
                <w:rFonts w:ascii="宋体"/>
                <w:szCs w:val="24"/>
                <w:highlight w:val="none"/>
              </w:rPr>
            </w:pPr>
            <w:r>
              <w:rPr>
                <w:rFonts w:hint="eastAsia" w:ascii="宋体" w:hAnsi="宋体"/>
                <w:szCs w:val="24"/>
                <w:highlight w:val="none"/>
              </w:rPr>
              <w:t>形式</w:t>
            </w:r>
          </w:p>
          <w:p>
            <w:pPr>
              <w:spacing w:line="360" w:lineRule="auto"/>
              <w:jc w:val="center"/>
              <w:rPr>
                <w:rFonts w:ascii="宋体"/>
                <w:szCs w:val="24"/>
                <w:highlight w:val="none"/>
              </w:rPr>
            </w:pPr>
            <w:r>
              <w:rPr>
                <w:rFonts w:hint="eastAsia" w:ascii="宋体" w:hAnsi="宋体"/>
                <w:szCs w:val="24"/>
                <w:highlight w:val="none"/>
              </w:rPr>
              <w:t>评审</w:t>
            </w:r>
          </w:p>
          <w:p>
            <w:pPr>
              <w:spacing w:line="360" w:lineRule="auto"/>
              <w:jc w:val="center"/>
              <w:rPr>
                <w:rFonts w:ascii="宋体"/>
                <w:szCs w:val="24"/>
                <w:highlight w:val="none"/>
              </w:rPr>
            </w:pPr>
            <w:r>
              <w:rPr>
                <w:rFonts w:hint="eastAsia" w:ascii="宋体" w:hAnsi="宋体"/>
                <w:szCs w:val="24"/>
                <w:highlight w:val="none"/>
              </w:rPr>
              <w:t>标准</w:t>
            </w:r>
          </w:p>
        </w:tc>
        <w:tc>
          <w:tcPr>
            <w:tcW w:w="1678" w:type="pct"/>
            <w:gridSpan w:val="2"/>
            <w:noWrap w:val="0"/>
            <w:vAlign w:val="center"/>
          </w:tcPr>
          <w:p>
            <w:pPr>
              <w:spacing w:line="240" w:lineRule="auto"/>
              <w:jc w:val="both"/>
              <w:rPr>
                <w:rFonts w:ascii="宋体"/>
                <w:szCs w:val="21"/>
                <w:highlight w:val="none"/>
              </w:rPr>
            </w:pPr>
            <w:r>
              <w:rPr>
                <w:rFonts w:hint="eastAsia" w:ascii="宋体" w:hAnsi="宋体"/>
                <w:szCs w:val="21"/>
                <w:highlight w:val="none"/>
              </w:rPr>
              <w:t>投标人名称</w:t>
            </w:r>
          </w:p>
        </w:tc>
        <w:tc>
          <w:tcPr>
            <w:tcW w:w="2421" w:type="pct"/>
            <w:noWrap w:val="0"/>
            <w:vAlign w:val="center"/>
          </w:tcPr>
          <w:p>
            <w:pPr>
              <w:spacing w:line="240" w:lineRule="auto"/>
              <w:jc w:val="both"/>
              <w:rPr>
                <w:rFonts w:ascii="宋体"/>
                <w:szCs w:val="24"/>
                <w:highlight w:val="none"/>
              </w:rPr>
            </w:pPr>
            <w:r>
              <w:rPr>
                <w:rFonts w:hint="eastAsia" w:ascii="宋体" w:hAnsi="宋体"/>
                <w:szCs w:val="21"/>
                <w:highlight w:val="none"/>
              </w:rPr>
              <w:t>与营业执照、资质证书、电子标书机构证书签名信息、投标保证金缴纳单位名称一致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678" w:type="pct"/>
            <w:gridSpan w:val="2"/>
            <w:noWrap w:val="0"/>
            <w:vAlign w:val="center"/>
          </w:tcPr>
          <w:p>
            <w:pPr>
              <w:spacing w:line="240" w:lineRule="auto"/>
              <w:jc w:val="both"/>
              <w:rPr>
                <w:rFonts w:ascii="宋体"/>
                <w:szCs w:val="21"/>
                <w:highlight w:val="none"/>
              </w:rPr>
            </w:pPr>
            <w:r>
              <w:rPr>
                <w:rFonts w:hint="eastAsia" w:ascii="宋体" w:hAnsi="宋体"/>
                <w:szCs w:val="21"/>
                <w:highlight w:val="none"/>
              </w:rPr>
              <w:t>投标文件签署</w:t>
            </w:r>
          </w:p>
        </w:tc>
        <w:tc>
          <w:tcPr>
            <w:tcW w:w="2421" w:type="pct"/>
            <w:noWrap w:val="0"/>
            <w:vAlign w:val="center"/>
          </w:tcPr>
          <w:p>
            <w:pPr>
              <w:spacing w:line="240" w:lineRule="auto"/>
              <w:jc w:val="both"/>
              <w:rPr>
                <w:rFonts w:ascii="宋体"/>
                <w:szCs w:val="24"/>
                <w:highlight w:val="none"/>
              </w:rPr>
            </w:pPr>
            <w:r>
              <w:rPr>
                <w:rFonts w:hint="eastAsia" w:ascii="宋体" w:hAnsi="宋体"/>
                <w:szCs w:val="21"/>
                <w:highlight w:val="none"/>
              </w:rPr>
              <w:t>符合第二章</w:t>
            </w:r>
            <w:r>
              <w:rPr>
                <w:rFonts w:hint="eastAsia" w:ascii="宋体"/>
                <w:szCs w:val="21"/>
                <w:highlight w:val="none"/>
              </w:rPr>
              <w:t>“</w:t>
            </w:r>
            <w:r>
              <w:rPr>
                <w:rFonts w:hint="eastAsia" w:ascii="宋体" w:hAnsi="宋体"/>
                <w:szCs w:val="21"/>
                <w:highlight w:val="none"/>
              </w:rPr>
              <w:t>投标人须知</w:t>
            </w:r>
            <w:r>
              <w:rPr>
                <w:rFonts w:hint="eastAsia" w:ascii="宋体"/>
                <w:szCs w:val="21"/>
                <w:highlight w:val="none"/>
              </w:rPr>
              <w:t>”</w:t>
            </w:r>
            <w:r>
              <w:rPr>
                <w:rFonts w:hint="eastAsia" w:ascii="宋体" w:hAnsi="宋体"/>
                <w:szCs w:val="21"/>
                <w:highlight w:val="none"/>
              </w:rPr>
              <w:t>第</w:t>
            </w:r>
            <w:r>
              <w:rPr>
                <w:rFonts w:ascii="宋体" w:hAnsi="宋体"/>
                <w:szCs w:val="21"/>
                <w:highlight w:val="none"/>
              </w:rPr>
              <w:t>3.7.3</w:t>
            </w:r>
            <w:r>
              <w:rPr>
                <w:rFonts w:hint="eastAsia" w:ascii="宋体" w:hAnsi="宋体"/>
                <w:szCs w:val="21"/>
                <w:highlight w:val="none"/>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4"/>
                <w:highlight w:val="none"/>
              </w:rPr>
            </w:pPr>
            <w:r>
              <w:rPr>
                <w:rFonts w:hint="eastAsia" w:ascii="宋体" w:hAnsi="宋体"/>
                <w:szCs w:val="21"/>
                <w:highlight w:val="none"/>
              </w:rPr>
              <w:t>投标文件格式</w:t>
            </w:r>
          </w:p>
        </w:tc>
        <w:tc>
          <w:tcPr>
            <w:tcW w:w="2421" w:type="pct"/>
            <w:noWrap w:val="0"/>
            <w:vAlign w:val="center"/>
          </w:tcPr>
          <w:p>
            <w:pPr>
              <w:spacing w:line="240" w:lineRule="auto"/>
              <w:jc w:val="both"/>
              <w:rPr>
                <w:rFonts w:ascii="宋体"/>
                <w:szCs w:val="24"/>
                <w:highlight w:val="none"/>
              </w:rPr>
            </w:pPr>
            <w:r>
              <w:rPr>
                <w:rFonts w:hint="eastAsia" w:ascii="宋体" w:hAnsi="宋体"/>
                <w:szCs w:val="24"/>
                <w:highlight w:val="none"/>
              </w:rPr>
              <w:t>符合第</w:t>
            </w:r>
            <w:r>
              <w:rPr>
                <w:rFonts w:hint="eastAsia" w:ascii="宋体" w:hAnsi="宋体"/>
                <w:szCs w:val="24"/>
                <w:highlight w:val="none"/>
                <w:lang w:val="en-US" w:eastAsia="zh-CN"/>
              </w:rPr>
              <w:t>六</w:t>
            </w:r>
            <w:r>
              <w:rPr>
                <w:rFonts w:hint="eastAsia" w:ascii="宋体" w:hAnsi="宋体"/>
                <w:szCs w:val="24"/>
                <w:highlight w:val="none"/>
              </w:rPr>
              <w:t>章“投标</w:t>
            </w:r>
            <w:r>
              <w:rPr>
                <w:rFonts w:hint="eastAsia" w:ascii="宋体" w:hAnsi="宋体"/>
                <w:szCs w:val="24"/>
                <w:highlight w:val="none"/>
                <w:lang w:val="en-US" w:eastAsia="zh-CN"/>
              </w:rPr>
              <w:t>文件格式</w:t>
            </w:r>
            <w:r>
              <w:rPr>
                <w:rFonts w:hint="eastAsia" w:ascii="宋体" w:hAnsi="宋体"/>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4"/>
                <w:highlight w:val="none"/>
              </w:rPr>
            </w:pPr>
            <w:r>
              <w:rPr>
                <w:rFonts w:hint="eastAsia" w:ascii="宋体" w:hAnsi="宋体"/>
                <w:szCs w:val="21"/>
                <w:highlight w:val="none"/>
              </w:rPr>
              <w:t>报价唯一</w:t>
            </w:r>
          </w:p>
        </w:tc>
        <w:tc>
          <w:tcPr>
            <w:tcW w:w="2421" w:type="pct"/>
            <w:noWrap w:val="0"/>
            <w:vAlign w:val="center"/>
          </w:tcPr>
          <w:p>
            <w:pPr>
              <w:spacing w:line="240" w:lineRule="auto"/>
              <w:jc w:val="both"/>
              <w:rPr>
                <w:rFonts w:ascii="宋体"/>
                <w:szCs w:val="24"/>
                <w:highlight w:val="none"/>
              </w:rPr>
            </w:pPr>
            <w:r>
              <w:rPr>
                <w:rFonts w:hint="eastAsia" w:ascii="宋体" w:hAnsi="宋体"/>
                <w:szCs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restart"/>
            <w:noWrap w:val="0"/>
            <w:vAlign w:val="center"/>
          </w:tcPr>
          <w:p>
            <w:pPr>
              <w:spacing w:line="360" w:lineRule="auto"/>
              <w:jc w:val="center"/>
              <w:rPr>
                <w:rFonts w:ascii="宋体"/>
                <w:szCs w:val="24"/>
                <w:highlight w:val="none"/>
              </w:rPr>
            </w:pPr>
            <w:r>
              <w:rPr>
                <w:rFonts w:ascii="宋体" w:hAnsi="宋体"/>
                <w:szCs w:val="24"/>
                <w:highlight w:val="none"/>
              </w:rPr>
              <w:t>2.1.2</w:t>
            </w:r>
          </w:p>
        </w:tc>
        <w:tc>
          <w:tcPr>
            <w:tcW w:w="459" w:type="pct"/>
            <w:vMerge w:val="restart"/>
            <w:noWrap w:val="0"/>
            <w:vAlign w:val="center"/>
          </w:tcPr>
          <w:p>
            <w:pPr>
              <w:spacing w:line="360" w:lineRule="auto"/>
              <w:jc w:val="center"/>
              <w:rPr>
                <w:rFonts w:ascii="宋体"/>
                <w:szCs w:val="24"/>
                <w:highlight w:val="none"/>
              </w:rPr>
            </w:pPr>
            <w:r>
              <w:rPr>
                <w:rFonts w:hint="eastAsia" w:ascii="宋体" w:hAnsi="宋体"/>
                <w:szCs w:val="24"/>
                <w:highlight w:val="none"/>
              </w:rPr>
              <w:t>资格</w:t>
            </w:r>
          </w:p>
          <w:p>
            <w:pPr>
              <w:spacing w:line="360" w:lineRule="auto"/>
              <w:jc w:val="center"/>
              <w:rPr>
                <w:rFonts w:ascii="宋体"/>
                <w:szCs w:val="24"/>
                <w:highlight w:val="none"/>
              </w:rPr>
            </w:pPr>
            <w:r>
              <w:rPr>
                <w:rFonts w:hint="eastAsia" w:ascii="宋体" w:hAnsi="宋体"/>
                <w:szCs w:val="24"/>
                <w:highlight w:val="none"/>
              </w:rPr>
              <w:t>评审</w:t>
            </w:r>
          </w:p>
          <w:p>
            <w:pPr>
              <w:spacing w:line="360" w:lineRule="auto"/>
              <w:jc w:val="center"/>
              <w:rPr>
                <w:rFonts w:ascii="宋体"/>
                <w:szCs w:val="24"/>
                <w:highlight w:val="none"/>
              </w:rPr>
            </w:pPr>
            <w:r>
              <w:rPr>
                <w:rFonts w:hint="eastAsia" w:ascii="宋体" w:hAnsi="宋体"/>
                <w:szCs w:val="24"/>
                <w:highlight w:val="none"/>
              </w:rPr>
              <w:t>标准</w:t>
            </w:r>
          </w:p>
        </w:tc>
        <w:tc>
          <w:tcPr>
            <w:tcW w:w="1678" w:type="pct"/>
            <w:gridSpan w:val="2"/>
            <w:noWrap w:val="0"/>
            <w:vAlign w:val="center"/>
          </w:tcPr>
          <w:p>
            <w:pPr>
              <w:spacing w:line="240" w:lineRule="auto"/>
              <w:jc w:val="both"/>
              <w:rPr>
                <w:szCs w:val="24"/>
                <w:highlight w:val="none"/>
              </w:rPr>
            </w:pPr>
            <w:r>
              <w:rPr>
                <w:rFonts w:hint="eastAsia"/>
                <w:szCs w:val="24"/>
                <w:highlight w:val="none"/>
              </w:rPr>
              <w:t>投标人基本情况</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符合第二章“投标人须知”第</w:t>
            </w:r>
            <w:r>
              <w:rPr>
                <w:szCs w:val="24"/>
                <w:highlight w:val="none"/>
              </w:rPr>
              <w:t>1.4.1</w:t>
            </w:r>
            <w:r>
              <w:rPr>
                <w:rFonts w:hint="eastAsia"/>
                <w:szCs w:val="24"/>
                <w:highlight w:val="none"/>
              </w:rPr>
              <w:t>项和</w:t>
            </w:r>
            <w:r>
              <w:rPr>
                <w:szCs w:val="24"/>
                <w:highlight w:val="none"/>
              </w:rPr>
              <w:t>3.5.1</w:t>
            </w:r>
            <w:r>
              <w:rPr>
                <w:rFonts w:hint="eastAsia"/>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法定代表人身份证明</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符合第六章投标文件格式第一部分资格审查文件第二项规定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授权委托书</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符合第六章投标文件格式第一部分资格审查文件第三项规定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联合体协议书</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符合第二章“投标人须知”第</w:t>
            </w:r>
            <w:r>
              <w:rPr>
                <w:szCs w:val="24"/>
                <w:highlight w:val="none"/>
              </w:rPr>
              <w:t>1.4.2</w:t>
            </w:r>
            <w:r>
              <w:rPr>
                <w:rFonts w:hint="eastAsia"/>
                <w:szCs w:val="24"/>
                <w:highlight w:val="none"/>
              </w:rPr>
              <w:t>项规定（如有）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投标保证金</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符合第二章“投标人须知”第</w:t>
            </w:r>
            <w:r>
              <w:rPr>
                <w:szCs w:val="24"/>
                <w:highlight w:val="none"/>
              </w:rPr>
              <w:t>3.4.1</w:t>
            </w:r>
            <w:r>
              <w:rPr>
                <w:rFonts w:hint="eastAsia"/>
                <w:szCs w:val="24"/>
                <w:highlight w:val="none"/>
              </w:rPr>
              <w:t>项和第六章投标文件格式第一部分资格审查文件第六项规定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1"/>
                <w:highlight w:val="none"/>
              </w:rPr>
            </w:pPr>
            <w:r>
              <w:rPr>
                <w:rFonts w:hint="eastAsia" w:ascii="宋体" w:hAnsi="宋体"/>
                <w:szCs w:val="21"/>
                <w:highlight w:val="none"/>
              </w:rPr>
              <w:t>投标文件真实性和不存在限制投标情形的声明及遵纪守法诚信承诺</w:t>
            </w:r>
          </w:p>
        </w:tc>
        <w:tc>
          <w:tcPr>
            <w:tcW w:w="2421" w:type="pct"/>
            <w:noWrap w:val="0"/>
            <w:vAlign w:val="center"/>
          </w:tcPr>
          <w:p>
            <w:pPr>
              <w:spacing w:line="240" w:lineRule="auto"/>
              <w:jc w:val="both"/>
              <w:rPr>
                <w:rFonts w:ascii="宋体"/>
                <w:szCs w:val="21"/>
                <w:highlight w:val="none"/>
              </w:rPr>
            </w:pPr>
            <w:r>
              <w:rPr>
                <w:rFonts w:hint="eastAsia"/>
                <w:szCs w:val="24"/>
                <w:highlight w:val="none"/>
              </w:rPr>
              <w:t>第六章投标文件格式第一部分资格审查文件</w:t>
            </w:r>
            <w:r>
              <w:rPr>
                <w:rFonts w:hint="eastAsia" w:ascii="宋体" w:hAnsi="宋体"/>
                <w:szCs w:val="21"/>
                <w:highlight w:val="none"/>
              </w:rPr>
              <w:t>第六项规定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近</w:t>
            </w:r>
            <w:r>
              <w:rPr>
                <w:rFonts w:ascii="宋体" w:hAnsi="宋体"/>
                <w:szCs w:val="24"/>
                <w:highlight w:val="none"/>
              </w:rPr>
              <w:t>3</w:t>
            </w:r>
            <w:r>
              <w:rPr>
                <w:rFonts w:hint="eastAsia"/>
                <w:szCs w:val="24"/>
                <w:highlight w:val="none"/>
              </w:rPr>
              <w:t>个年度财务状况表</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符合第二章“投标人须知”第</w:t>
            </w:r>
            <w:r>
              <w:rPr>
                <w:szCs w:val="24"/>
                <w:highlight w:val="none"/>
              </w:rPr>
              <w:t>1.4.1</w:t>
            </w:r>
            <w:r>
              <w:rPr>
                <w:rFonts w:hint="eastAsia"/>
                <w:szCs w:val="24"/>
                <w:highlight w:val="none"/>
              </w:rPr>
              <w:t>项和第六章投标文件格式第一部分资格审查文件第七项规定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近年完成的类似项目情况表</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符合第二章“投标人须知”第</w:t>
            </w:r>
            <w:r>
              <w:rPr>
                <w:szCs w:val="24"/>
                <w:highlight w:val="none"/>
              </w:rPr>
              <w:t>1.4.1</w:t>
            </w:r>
            <w:r>
              <w:rPr>
                <w:rFonts w:hint="eastAsia"/>
                <w:szCs w:val="24"/>
                <w:highlight w:val="none"/>
              </w:rPr>
              <w:t>项和第六章投标文件格式第一部分资格审查文件第八项规定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60" w:lineRule="auto"/>
              <w:jc w:val="center"/>
              <w:rPr>
                <w:rFonts w:ascii="宋体"/>
                <w:szCs w:val="24"/>
                <w:highlight w:val="none"/>
              </w:rPr>
            </w:pPr>
          </w:p>
        </w:tc>
        <w:tc>
          <w:tcPr>
            <w:tcW w:w="459" w:type="pct"/>
            <w:vMerge w:val="continue"/>
            <w:noWrap w:val="0"/>
            <w:vAlign w:val="center"/>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szCs w:val="24"/>
                <w:highlight w:val="none"/>
              </w:rPr>
            </w:pPr>
            <w:r>
              <w:rPr>
                <w:rFonts w:hint="eastAsia"/>
                <w:szCs w:val="24"/>
                <w:highlight w:val="none"/>
              </w:rPr>
              <w:t>其他材料</w:t>
            </w:r>
          </w:p>
        </w:tc>
        <w:tc>
          <w:tcPr>
            <w:tcW w:w="2421" w:type="pct"/>
            <w:noWrap w:val="0"/>
            <w:vAlign w:val="center"/>
          </w:tcPr>
          <w:p>
            <w:pPr>
              <w:spacing w:line="240" w:lineRule="auto"/>
              <w:jc w:val="both"/>
              <w:rPr>
                <w:rFonts w:ascii="宋体"/>
                <w:szCs w:val="21"/>
                <w:highlight w:val="none"/>
              </w:rPr>
            </w:pPr>
            <w:r>
              <w:rPr>
                <w:rFonts w:hint="eastAsia"/>
                <w:szCs w:val="24"/>
                <w:highlight w:val="none"/>
              </w:rPr>
              <w:t>符合第二章投标须知前附表第</w:t>
            </w:r>
            <w:r>
              <w:rPr>
                <w:szCs w:val="24"/>
                <w:highlight w:val="none"/>
              </w:rPr>
              <w:t>1.4.1</w:t>
            </w:r>
            <w:r>
              <w:rPr>
                <w:rFonts w:hint="eastAsia"/>
                <w:szCs w:val="24"/>
                <w:highlight w:val="none"/>
              </w:rPr>
              <w:t>项和第六章投标文件格式第一部分资格审查部分第九项规定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restart"/>
            <w:noWrap w:val="0"/>
            <w:vAlign w:val="center"/>
          </w:tcPr>
          <w:p>
            <w:pPr>
              <w:spacing w:line="360" w:lineRule="auto"/>
              <w:jc w:val="center"/>
              <w:rPr>
                <w:rFonts w:ascii="宋体"/>
                <w:szCs w:val="24"/>
                <w:highlight w:val="none"/>
              </w:rPr>
            </w:pPr>
            <w:r>
              <w:rPr>
                <w:rFonts w:ascii="宋体" w:hAnsi="宋体"/>
                <w:szCs w:val="24"/>
                <w:highlight w:val="none"/>
              </w:rPr>
              <w:t>2.1.3</w:t>
            </w:r>
          </w:p>
        </w:tc>
        <w:tc>
          <w:tcPr>
            <w:tcW w:w="459" w:type="pct"/>
            <w:vMerge w:val="restart"/>
            <w:noWrap w:val="0"/>
            <w:vAlign w:val="center"/>
          </w:tcPr>
          <w:p>
            <w:pPr>
              <w:spacing w:line="360" w:lineRule="auto"/>
              <w:jc w:val="center"/>
              <w:rPr>
                <w:rFonts w:ascii="宋体"/>
                <w:szCs w:val="24"/>
                <w:highlight w:val="none"/>
              </w:rPr>
            </w:pPr>
            <w:r>
              <w:rPr>
                <w:rFonts w:hint="eastAsia" w:ascii="宋体" w:hAnsi="宋体"/>
                <w:szCs w:val="24"/>
                <w:highlight w:val="none"/>
              </w:rPr>
              <w:t>响应性评审</w:t>
            </w:r>
          </w:p>
          <w:p>
            <w:pPr>
              <w:spacing w:line="360" w:lineRule="auto"/>
              <w:jc w:val="center"/>
              <w:rPr>
                <w:rFonts w:ascii="宋体"/>
                <w:szCs w:val="24"/>
                <w:highlight w:val="none"/>
              </w:rPr>
            </w:pPr>
            <w:r>
              <w:rPr>
                <w:rFonts w:hint="eastAsia" w:ascii="宋体" w:hAnsi="宋体"/>
                <w:szCs w:val="24"/>
                <w:highlight w:val="none"/>
              </w:rPr>
              <w:t>标准</w:t>
            </w:r>
          </w:p>
        </w:tc>
        <w:tc>
          <w:tcPr>
            <w:tcW w:w="1678" w:type="pct"/>
            <w:gridSpan w:val="2"/>
            <w:noWrap w:val="0"/>
            <w:vAlign w:val="center"/>
          </w:tcPr>
          <w:p>
            <w:pPr>
              <w:spacing w:line="240" w:lineRule="auto"/>
              <w:jc w:val="both"/>
              <w:rPr>
                <w:rFonts w:ascii="宋体"/>
                <w:szCs w:val="24"/>
                <w:highlight w:val="none"/>
              </w:rPr>
            </w:pPr>
            <w:r>
              <w:rPr>
                <w:rFonts w:hint="eastAsia" w:ascii="宋体" w:hAnsi="宋体"/>
                <w:szCs w:val="24"/>
                <w:highlight w:val="none"/>
              </w:rPr>
              <w:t>投标内容</w:t>
            </w:r>
          </w:p>
        </w:tc>
        <w:tc>
          <w:tcPr>
            <w:tcW w:w="2421" w:type="pct"/>
            <w:noWrap w:val="0"/>
            <w:vAlign w:val="center"/>
          </w:tcPr>
          <w:p>
            <w:pPr>
              <w:spacing w:line="240" w:lineRule="auto"/>
              <w:jc w:val="both"/>
              <w:rPr>
                <w:rFonts w:ascii="宋体"/>
                <w:szCs w:val="24"/>
                <w:highlight w:val="none"/>
              </w:rPr>
            </w:pPr>
            <w:r>
              <w:rPr>
                <w:rFonts w:hint="eastAsia" w:ascii="宋体" w:hAnsi="宋体"/>
                <w:szCs w:val="24"/>
                <w:highlight w:val="none"/>
              </w:rPr>
              <w:t>符合第二章“投标人须知”第</w:t>
            </w:r>
            <w:r>
              <w:rPr>
                <w:rFonts w:ascii="宋体" w:hAnsi="宋体"/>
                <w:szCs w:val="24"/>
                <w:highlight w:val="none"/>
              </w:rPr>
              <w:t>1.3.1</w:t>
            </w:r>
            <w:r>
              <w:rPr>
                <w:rFonts w:hint="eastAsia" w:ascii="宋体" w:hAnsi="宋体"/>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1"/>
                <w:highlight w:val="none"/>
              </w:rPr>
            </w:pPr>
            <w:r>
              <w:rPr>
                <w:rFonts w:hint="eastAsia" w:ascii="宋体" w:hAnsi="宋体"/>
                <w:szCs w:val="21"/>
                <w:highlight w:val="none"/>
              </w:rPr>
              <w:t>计划工期</w:t>
            </w:r>
          </w:p>
        </w:tc>
        <w:tc>
          <w:tcPr>
            <w:tcW w:w="2421" w:type="pct"/>
            <w:noWrap w:val="0"/>
            <w:vAlign w:val="center"/>
          </w:tcPr>
          <w:p>
            <w:pPr>
              <w:spacing w:line="240" w:lineRule="auto"/>
              <w:jc w:val="both"/>
              <w:rPr>
                <w:rFonts w:ascii="宋体"/>
                <w:szCs w:val="24"/>
                <w:highlight w:val="none"/>
              </w:rPr>
            </w:pPr>
            <w:r>
              <w:rPr>
                <w:rFonts w:hint="eastAsia" w:ascii="宋体" w:hAnsi="宋体"/>
                <w:szCs w:val="21"/>
                <w:highlight w:val="none"/>
              </w:rPr>
              <w:t>符合第二章</w:t>
            </w:r>
            <w:r>
              <w:rPr>
                <w:rFonts w:hint="eastAsia" w:ascii="宋体"/>
                <w:szCs w:val="21"/>
                <w:highlight w:val="none"/>
              </w:rPr>
              <w:t>“</w:t>
            </w:r>
            <w:r>
              <w:rPr>
                <w:rFonts w:hint="eastAsia" w:ascii="宋体" w:hAnsi="宋体"/>
                <w:szCs w:val="21"/>
                <w:highlight w:val="none"/>
              </w:rPr>
              <w:t>投标人须知</w:t>
            </w:r>
            <w:r>
              <w:rPr>
                <w:rFonts w:hint="eastAsia" w:ascii="宋体"/>
                <w:szCs w:val="21"/>
                <w:highlight w:val="none"/>
              </w:rPr>
              <w:t>”</w:t>
            </w:r>
            <w:r>
              <w:rPr>
                <w:rFonts w:hint="eastAsia" w:ascii="宋体" w:hAnsi="宋体"/>
                <w:szCs w:val="21"/>
                <w:highlight w:val="none"/>
              </w:rPr>
              <w:t>第</w:t>
            </w:r>
            <w:r>
              <w:rPr>
                <w:rFonts w:ascii="宋体" w:hAnsi="宋体"/>
                <w:szCs w:val="21"/>
                <w:highlight w:val="none"/>
              </w:rPr>
              <w:t>1.3.2</w:t>
            </w:r>
            <w:r>
              <w:rPr>
                <w:rFonts w:hint="eastAsia" w:ascii="宋体" w:hAnsi="宋体"/>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4"/>
                <w:highlight w:val="none"/>
              </w:rPr>
            </w:pPr>
            <w:r>
              <w:rPr>
                <w:rFonts w:hint="eastAsia" w:ascii="宋体" w:hAnsi="宋体"/>
                <w:szCs w:val="24"/>
                <w:highlight w:val="none"/>
              </w:rPr>
              <w:t>投标有效期</w:t>
            </w:r>
          </w:p>
        </w:tc>
        <w:tc>
          <w:tcPr>
            <w:tcW w:w="2421" w:type="pct"/>
            <w:noWrap w:val="0"/>
            <w:vAlign w:val="center"/>
          </w:tcPr>
          <w:p>
            <w:pPr>
              <w:spacing w:line="240" w:lineRule="auto"/>
              <w:jc w:val="both"/>
              <w:rPr>
                <w:rFonts w:ascii="宋体"/>
                <w:szCs w:val="24"/>
                <w:highlight w:val="none"/>
              </w:rPr>
            </w:pPr>
            <w:r>
              <w:rPr>
                <w:rFonts w:hint="eastAsia" w:ascii="宋体" w:hAnsi="宋体"/>
                <w:szCs w:val="24"/>
                <w:highlight w:val="none"/>
              </w:rPr>
              <w:t>符合第二章“投标人须知”第</w:t>
            </w:r>
            <w:r>
              <w:rPr>
                <w:rFonts w:ascii="宋体" w:hAnsi="宋体"/>
                <w:szCs w:val="24"/>
                <w:highlight w:val="none"/>
              </w:rPr>
              <w:t>3.3.1</w:t>
            </w:r>
            <w:r>
              <w:rPr>
                <w:rFonts w:hint="eastAsia" w:ascii="宋体" w:hAnsi="宋体"/>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4"/>
                <w:highlight w:val="none"/>
              </w:rPr>
            </w:pPr>
            <w:r>
              <w:rPr>
                <w:rFonts w:hint="eastAsia" w:ascii="宋体" w:hAnsi="宋体"/>
                <w:szCs w:val="21"/>
                <w:highlight w:val="none"/>
              </w:rPr>
              <w:t>投标报价</w:t>
            </w:r>
          </w:p>
        </w:tc>
        <w:tc>
          <w:tcPr>
            <w:tcW w:w="2421" w:type="pct"/>
            <w:noWrap w:val="0"/>
            <w:vAlign w:val="center"/>
          </w:tcPr>
          <w:p>
            <w:pPr>
              <w:spacing w:line="240" w:lineRule="auto"/>
              <w:jc w:val="both"/>
              <w:rPr>
                <w:rFonts w:ascii="宋体"/>
                <w:szCs w:val="24"/>
                <w:highlight w:val="none"/>
              </w:rPr>
            </w:pPr>
            <w:r>
              <w:rPr>
                <w:rFonts w:hint="eastAsia" w:ascii="宋体" w:hAnsi="宋体"/>
                <w:szCs w:val="21"/>
                <w:highlight w:val="none"/>
              </w:rPr>
              <w:t>符合招标文件第二章投标人须知前附表</w:t>
            </w:r>
            <w:r>
              <w:rPr>
                <w:rFonts w:ascii="宋体" w:hAnsi="宋体"/>
                <w:szCs w:val="21"/>
                <w:highlight w:val="none"/>
              </w:rPr>
              <w:t>7.3.2</w:t>
            </w:r>
            <w:r>
              <w:rPr>
                <w:rFonts w:hint="eastAsia" w:ascii="宋体" w:hAnsi="宋体"/>
                <w:szCs w:val="21"/>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1"/>
                <w:highlight w:val="none"/>
              </w:rPr>
            </w:pPr>
            <w:r>
              <w:rPr>
                <w:rFonts w:hint="eastAsia" w:ascii="宋体" w:hAnsi="宋体"/>
                <w:szCs w:val="21"/>
                <w:highlight w:val="none"/>
              </w:rPr>
              <w:t>技术标准和要求</w:t>
            </w:r>
          </w:p>
        </w:tc>
        <w:tc>
          <w:tcPr>
            <w:tcW w:w="2421" w:type="pct"/>
            <w:noWrap w:val="0"/>
            <w:vAlign w:val="center"/>
          </w:tcPr>
          <w:p>
            <w:pPr>
              <w:spacing w:line="240" w:lineRule="auto"/>
              <w:jc w:val="both"/>
              <w:rPr>
                <w:rFonts w:ascii="宋体"/>
                <w:szCs w:val="24"/>
                <w:highlight w:val="none"/>
              </w:rPr>
            </w:pPr>
            <w:r>
              <w:rPr>
                <w:rFonts w:hint="eastAsia" w:ascii="宋体" w:hAnsi="宋体"/>
                <w:szCs w:val="21"/>
                <w:highlight w:val="none"/>
              </w:rPr>
              <w:t>符合招标文件</w:t>
            </w:r>
            <w:r>
              <w:rPr>
                <w:rFonts w:hint="eastAsia" w:ascii="宋体"/>
                <w:szCs w:val="21"/>
                <w:highlight w:val="none"/>
              </w:rPr>
              <w:t>“</w:t>
            </w:r>
            <w:r>
              <w:rPr>
                <w:rFonts w:hint="eastAsia" w:ascii="宋体" w:hAnsi="宋体"/>
                <w:szCs w:val="21"/>
                <w:highlight w:val="none"/>
              </w:rPr>
              <w:t>第五章技术标准和要求</w:t>
            </w:r>
            <w:r>
              <w:rPr>
                <w:rFonts w:hint="eastAsia" w:ascii="宋体"/>
                <w:szCs w:val="21"/>
                <w:highlight w:val="none"/>
              </w:rPr>
              <w:t>”</w:t>
            </w:r>
            <w:r>
              <w:rPr>
                <w:rFonts w:hint="eastAsia" w:ascii="宋体" w:hAnsi="宋体"/>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top"/>
          </w:tcPr>
          <w:p>
            <w:pPr>
              <w:spacing w:line="360" w:lineRule="auto"/>
              <w:jc w:val="left"/>
              <w:rPr>
                <w:rFonts w:ascii="宋体"/>
                <w:szCs w:val="24"/>
                <w:highlight w:val="none"/>
              </w:rPr>
            </w:pPr>
          </w:p>
        </w:tc>
        <w:tc>
          <w:tcPr>
            <w:tcW w:w="459" w:type="pct"/>
            <w:vMerge w:val="continue"/>
            <w:noWrap w:val="0"/>
            <w:vAlign w:val="top"/>
          </w:tcPr>
          <w:p>
            <w:pPr>
              <w:spacing w:line="360" w:lineRule="auto"/>
              <w:jc w:val="left"/>
              <w:rPr>
                <w:rFonts w:ascii="宋体"/>
                <w:szCs w:val="24"/>
                <w:highlight w:val="none"/>
              </w:rPr>
            </w:pPr>
          </w:p>
        </w:tc>
        <w:tc>
          <w:tcPr>
            <w:tcW w:w="1678" w:type="pct"/>
            <w:gridSpan w:val="2"/>
            <w:noWrap w:val="0"/>
            <w:vAlign w:val="center"/>
          </w:tcPr>
          <w:p>
            <w:pPr>
              <w:spacing w:line="240" w:lineRule="auto"/>
              <w:jc w:val="both"/>
              <w:rPr>
                <w:rFonts w:ascii="宋体"/>
                <w:szCs w:val="24"/>
                <w:highlight w:val="none"/>
              </w:rPr>
            </w:pPr>
            <w:r>
              <w:rPr>
                <w:rFonts w:hint="eastAsia" w:ascii="宋体" w:hAnsi="宋体"/>
                <w:szCs w:val="24"/>
                <w:highlight w:val="none"/>
              </w:rPr>
              <w:t>权利义务</w:t>
            </w:r>
          </w:p>
        </w:tc>
        <w:tc>
          <w:tcPr>
            <w:tcW w:w="2421" w:type="pct"/>
            <w:noWrap w:val="0"/>
            <w:vAlign w:val="center"/>
          </w:tcPr>
          <w:p>
            <w:pPr>
              <w:spacing w:line="240" w:lineRule="auto"/>
              <w:jc w:val="both"/>
              <w:rPr>
                <w:rFonts w:ascii="宋体"/>
                <w:szCs w:val="24"/>
                <w:highlight w:val="none"/>
              </w:rPr>
            </w:pPr>
            <w:r>
              <w:rPr>
                <w:rFonts w:hint="eastAsia" w:ascii="宋体" w:hAnsi="宋体"/>
                <w:szCs w:val="24"/>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pct"/>
            <w:gridSpan w:val="2"/>
            <w:noWrap w:val="0"/>
            <w:vAlign w:val="center"/>
          </w:tcPr>
          <w:p>
            <w:pPr>
              <w:spacing w:line="360" w:lineRule="auto"/>
              <w:jc w:val="center"/>
              <w:rPr>
                <w:rFonts w:ascii="宋体"/>
                <w:szCs w:val="24"/>
                <w:highlight w:val="none"/>
              </w:rPr>
            </w:pPr>
            <w:r>
              <w:rPr>
                <w:rFonts w:ascii="宋体" w:hAnsi="宋体"/>
                <w:szCs w:val="24"/>
                <w:highlight w:val="none"/>
              </w:rPr>
              <w:t>2.2.1</w:t>
            </w:r>
          </w:p>
        </w:tc>
        <w:tc>
          <w:tcPr>
            <w:tcW w:w="1678" w:type="pct"/>
            <w:gridSpan w:val="2"/>
            <w:noWrap w:val="0"/>
            <w:vAlign w:val="center"/>
          </w:tcPr>
          <w:p>
            <w:pPr>
              <w:spacing w:line="360" w:lineRule="auto"/>
              <w:jc w:val="center"/>
              <w:rPr>
                <w:rFonts w:ascii="宋体"/>
                <w:szCs w:val="24"/>
                <w:highlight w:val="none"/>
              </w:rPr>
            </w:pPr>
            <w:r>
              <w:rPr>
                <w:rFonts w:hint="eastAsia" w:ascii="宋体" w:hAnsi="宋体"/>
                <w:szCs w:val="24"/>
                <w:highlight w:val="none"/>
              </w:rPr>
              <w:t>分值构成</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监理大纲：</w:t>
            </w:r>
            <w:r>
              <w:rPr>
                <w:rFonts w:ascii="宋体" w:hAnsi="宋体"/>
                <w:szCs w:val="24"/>
                <w:highlight w:val="none"/>
                <w:u w:val="single"/>
              </w:rPr>
              <w:t xml:space="preserve"> </w:t>
            </w:r>
            <w:r>
              <w:rPr>
                <w:rFonts w:hint="eastAsia" w:ascii="宋体" w:hAnsi="宋体"/>
                <w:szCs w:val="24"/>
                <w:highlight w:val="none"/>
                <w:u w:val="single"/>
                <w:lang w:val="en-US" w:eastAsia="zh-CN"/>
              </w:rPr>
              <w:t>30</w:t>
            </w:r>
            <w:r>
              <w:rPr>
                <w:rFonts w:ascii="宋体" w:hAnsi="宋体"/>
                <w:szCs w:val="24"/>
                <w:highlight w:val="none"/>
                <w:u w:val="single"/>
              </w:rPr>
              <w:t xml:space="preserve"> </w:t>
            </w:r>
            <w:r>
              <w:rPr>
                <w:rFonts w:hint="eastAsia" w:ascii="宋体" w:hAnsi="宋体"/>
                <w:szCs w:val="24"/>
                <w:highlight w:val="none"/>
              </w:rPr>
              <w:t>分</w:t>
            </w:r>
          </w:p>
          <w:p>
            <w:pPr>
              <w:spacing w:line="360" w:lineRule="auto"/>
              <w:jc w:val="left"/>
              <w:rPr>
                <w:rFonts w:ascii="宋体"/>
                <w:szCs w:val="24"/>
                <w:highlight w:val="none"/>
              </w:rPr>
            </w:pPr>
            <w:r>
              <w:rPr>
                <w:rFonts w:hint="eastAsia" w:ascii="宋体" w:hAnsi="宋体"/>
                <w:szCs w:val="24"/>
                <w:highlight w:val="none"/>
              </w:rPr>
              <w:t>资质业绩管理机构：</w:t>
            </w:r>
            <w:r>
              <w:rPr>
                <w:rFonts w:ascii="宋体" w:hAnsi="宋体"/>
                <w:szCs w:val="24"/>
                <w:highlight w:val="none"/>
                <w:u w:val="single"/>
              </w:rPr>
              <w:t xml:space="preserve"> </w:t>
            </w:r>
            <w:r>
              <w:rPr>
                <w:rFonts w:hint="eastAsia" w:ascii="宋体" w:hAnsi="宋体"/>
                <w:szCs w:val="24"/>
                <w:highlight w:val="none"/>
                <w:u w:val="single"/>
                <w:lang w:val="en-US" w:eastAsia="zh-CN"/>
              </w:rPr>
              <w:t>20</w:t>
            </w:r>
            <w:r>
              <w:rPr>
                <w:rFonts w:ascii="宋体" w:hAnsi="宋体"/>
                <w:szCs w:val="24"/>
                <w:highlight w:val="none"/>
                <w:u w:val="single"/>
              </w:rPr>
              <w:t xml:space="preserve"> </w:t>
            </w:r>
            <w:r>
              <w:rPr>
                <w:rFonts w:hint="eastAsia" w:ascii="宋体" w:hAnsi="宋体"/>
                <w:szCs w:val="24"/>
                <w:highlight w:val="none"/>
              </w:rPr>
              <w:t>分</w:t>
            </w:r>
          </w:p>
          <w:p>
            <w:pPr>
              <w:spacing w:line="360" w:lineRule="auto"/>
              <w:jc w:val="left"/>
              <w:rPr>
                <w:rFonts w:ascii="宋体"/>
                <w:szCs w:val="24"/>
                <w:highlight w:val="none"/>
              </w:rPr>
            </w:pPr>
            <w:r>
              <w:rPr>
                <w:rFonts w:hint="eastAsia" w:ascii="宋体" w:hAnsi="宋体"/>
                <w:szCs w:val="24"/>
                <w:highlight w:val="none"/>
              </w:rPr>
              <w:t>投标报价：</w:t>
            </w:r>
            <w:r>
              <w:rPr>
                <w:rFonts w:hint="eastAsia" w:ascii="宋体" w:hAnsi="宋体"/>
                <w:szCs w:val="24"/>
                <w:highlight w:val="none"/>
                <w:u w:val="single"/>
                <w:lang w:val="en-US" w:eastAsia="zh-CN"/>
              </w:rPr>
              <w:t>50</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restart"/>
            <w:noWrap w:val="0"/>
            <w:vAlign w:val="center"/>
          </w:tcPr>
          <w:p>
            <w:pPr>
              <w:spacing w:line="360" w:lineRule="auto"/>
              <w:jc w:val="center"/>
              <w:rPr>
                <w:rFonts w:ascii="宋体"/>
                <w:szCs w:val="21"/>
                <w:highlight w:val="none"/>
              </w:rPr>
            </w:pPr>
            <w:r>
              <w:rPr>
                <w:rFonts w:ascii="宋体" w:hAnsi="宋体"/>
                <w:szCs w:val="21"/>
                <w:highlight w:val="none"/>
              </w:rPr>
              <w:t>2.2.1</w:t>
            </w:r>
          </w:p>
          <w:p>
            <w:pPr>
              <w:spacing w:line="360" w:lineRule="auto"/>
              <w:jc w:val="center"/>
              <w:rPr>
                <w:rFonts w:ascii="宋体"/>
                <w:szCs w:val="21"/>
                <w:highlight w:val="none"/>
              </w:rPr>
            </w:pPr>
            <w:r>
              <w:rPr>
                <w:rFonts w:ascii="宋体" w:hAnsi="宋体"/>
                <w:szCs w:val="21"/>
                <w:highlight w:val="none"/>
              </w:rPr>
              <w:t>(1)</w:t>
            </w:r>
          </w:p>
        </w:tc>
        <w:tc>
          <w:tcPr>
            <w:tcW w:w="459" w:type="pct"/>
            <w:vMerge w:val="restart"/>
            <w:noWrap w:val="0"/>
            <w:vAlign w:val="center"/>
          </w:tcPr>
          <w:p>
            <w:pPr>
              <w:spacing w:line="360" w:lineRule="auto"/>
              <w:jc w:val="center"/>
              <w:rPr>
                <w:rFonts w:ascii="宋体"/>
                <w:szCs w:val="24"/>
                <w:highlight w:val="none"/>
              </w:rPr>
            </w:pPr>
            <w:r>
              <w:rPr>
                <w:rFonts w:hint="eastAsia" w:ascii="宋体" w:hAnsi="宋体"/>
                <w:szCs w:val="24"/>
                <w:highlight w:val="none"/>
              </w:rPr>
              <w:t>监理</w:t>
            </w:r>
          </w:p>
          <w:p>
            <w:pPr>
              <w:spacing w:line="360" w:lineRule="auto"/>
              <w:jc w:val="center"/>
              <w:rPr>
                <w:rFonts w:ascii="宋体"/>
                <w:szCs w:val="24"/>
                <w:highlight w:val="none"/>
              </w:rPr>
            </w:pPr>
            <w:r>
              <w:rPr>
                <w:rFonts w:hint="eastAsia" w:ascii="宋体" w:hAnsi="宋体"/>
                <w:szCs w:val="24"/>
                <w:highlight w:val="none"/>
              </w:rPr>
              <w:t>大纲</w:t>
            </w:r>
          </w:p>
        </w:tc>
        <w:tc>
          <w:tcPr>
            <w:tcW w:w="1144" w:type="pct"/>
            <w:noWrap w:val="0"/>
            <w:vAlign w:val="center"/>
          </w:tcPr>
          <w:p>
            <w:pPr>
              <w:jc w:val="center"/>
              <w:rPr>
                <w:rFonts w:ascii="宋体"/>
                <w:szCs w:val="24"/>
                <w:highlight w:val="none"/>
              </w:rPr>
            </w:pPr>
            <w:r>
              <w:rPr>
                <w:rStyle w:val="10"/>
                <w:rFonts w:hint="eastAsia"/>
                <w:bCs/>
                <w:szCs w:val="21"/>
                <w:highlight w:val="none"/>
              </w:rPr>
              <w:t>评分因素</w:t>
            </w:r>
          </w:p>
        </w:tc>
        <w:tc>
          <w:tcPr>
            <w:tcW w:w="534" w:type="pct"/>
            <w:noWrap w:val="0"/>
            <w:vAlign w:val="center"/>
          </w:tcPr>
          <w:p>
            <w:pPr>
              <w:jc w:val="center"/>
              <w:rPr>
                <w:rFonts w:ascii="宋体"/>
                <w:szCs w:val="24"/>
                <w:highlight w:val="none"/>
              </w:rPr>
            </w:pPr>
            <w:r>
              <w:rPr>
                <w:rStyle w:val="10"/>
                <w:rFonts w:hint="eastAsia"/>
                <w:bCs/>
                <w:szCs w:val="21"/>
                <w:highlight w:val="none"/>
              </w:rPr>
              <w:t>分值</w:t>
            </w:r>
          </w:p>
        </w:tc>
        <w:tc>
          <w:tcPr>
            <w:tcW w:w="2421" w:type="pct"/>
            <w:noWrap w:val="0"/>
            <w:vAlign w:val="center"/>
          </w:tcPr>
          <w:p>
            <w:pPr>
              <w:jc w:val="center"/>
              <w:rPr>
                <w:rFonts w:ascii="宋体"/>
                <w:szCs w:val="24"/>
                <w:highlight w:val="none"/>
              </w:rPr>
            </w:pPr>
            <w:r>
              <w:rPr>
                <w:rStyle w:val="10"/>
                <w:rFonts w:hint="eastAsia"/>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jc w:val="left"/>
              <w:rPr>
                <w:rFonts w:ascii="宋体"/>
                <w:szCs w:val="24"/>
                <w:highlight w:val="none"/>
              </w:rPr>
            </w:pPr>
            <w:r>
              <w:rPr>
                <w:rFonts w:hint="eastAsia" w:ascii="宋体" w:hAnsi="宋体"/>
                <w:szCs w:val="24"/>
                <w:highlight w:val="none"/>
              </w:rPr>
              <w:t>监理程序和工作流程</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5</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监理目标、范围、任务是否明确，监理程序和监理工作流程设计是否详细、合理，是否满足招标项目所需，是否响应招标文件（</w:t>
            </w:r>
            <w:r>
              <w:rPr>
                <w:rFonts w:hint="eastAsia" w:ascii="宋体"/>
                <w:szCs w:val="24"/>
                <w:highlight w:val="none"/>
                <w:lang w:val="en-US" w:eastAsia="zh-CN"/>
              </w:rPr>
              <w:t>1</w:t>
            </w:r>
            <w:r>
              <w:rPr>
                <w:rFonts w:ascii="宋体" w:hAnsi="宋体"/>
                <w:szCs w:val="24"/>
                <w:highlight w:val="none"/>
              </w:rPr>
              <w:t>-</w:t>
            </w:r>
            <w:r>
              <w:rPr>
                <w:rFonts w:hint="eastAsia" w:ascii="宋体" w:hAnsi="宋体"/>
                <w:szCs w:val="24"/>
                <w:highlight w:val="none"/>
                <w:lang w:val="en-US" w:eastAsia="zh-CN"/>
              </w:rPr>
              <w:t>3</w:t>
            </w:r>
            <w:r>
              <w:rPr>
                <w:rFonts w:hint="eastAsia" w:ascii="宋体" w:hAnsi="宋体"/>
                <w:szCs w:val="24"/>
                <w:highlight w:val="none"/>
              </w:rPr>
              <w:t>分）。监理措施是否得力，提出的合理化建议是否具有积极意义（</w:t>
            </w:r>
            <w:r>
              <w:rPr>
                <w:rFonts w:hint="eastAsia" w:ascii="宋体" w:hAnsi="宋体"/>
                <w:szCs w:val="24"/>
                <w:highlight w:val="none"/>
                <w:lang w:val="en-US" w:eastAsia="zh-CN"/>
              </w:rPr>
              <w:t>1</w:t>
            </w:r>
            <w:r>
              <w:rPr>
                <w:rFonts w:ascii="宋体" w:hAnsi="宋体"/>
                <w:szCs w:val="24"/>
                <w:highlight w:val="none"/>
              </w:rPr>
              <w:t>-</w:t>
            </w:r>
            <w:r>
              <w:rPr>
                <w:rFonts w:hint="eastAsia" w:ascii="宋体" w:hAnsi="宋体"/>
                <w:szCs w:val="24"/>
                <w:highlight w:val="none"/>
                <w:lang w:val="en-US" w:eastAsia="zh-CN"/>
              </w:rPr>
              <w:t>2</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jc w:val="left"/>
              <w:rPr>
                <w:rFonts w:ascii="宋体"/>
                <w:szCs w:val="24"/>
                <w:highlight w:val="none"/>
              </w:rPr>
            </w:pPr>
            <w:r>
              <w:rPr>
                <w:rFonts w:hint="eastAsia" w:ascii="宋体" w:hAnsi="宋体"/>
                <w:szCs w:val="24"/>
                <w:highlight w:val="none"/>
              </w:rPr>
              <w:t>质量控制措施</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5</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质量控制有总目标，响应招标文件要求，对各分解目标提出相应的控制点，并提出相应的措施，关键部位考虑周到细致。质量控制的基本程序（包括质量的处理程序）及预控措施切实可行。监理单位内部有完善的监理工作质量奖惩制度（</w:t>
            </w:r>
            <w:r>
              <w:rPr>
                <w:rFonts w:hint="eastAsia" w:ascii="宋体" w:hAnsi="宋体"/>
                <w:szCs w:val="24"/>
                <w:highlight w:val="none"/>
                <w:lang w:val="en-US" w:eastAsia="zh-CN"/>
              </w:rPr>
              <w:t>3</w:t>
            </w:r>
            <w:r>
              <w:rPr>
                <w:rFonts w:ascii="宋体" w:hAnsi="宋体"/>
                <w:szCs w:val="24"/>
                <w:highlight w:val="none"/>
              </w:rPr>
              <w:t>-</w:t>
            </w:r>
            <w:r>
              <w:rPr>
                <w:rFonts w:hint="eastAsia" w:ascii="宋体" w:hAnsi="宋体"/>
                <w:szCs w:val="24"/>
                <w:highlight w:val="none"/>
                <w:lang w:val="en-US" w:eastAsia="zh-CN"/>
              </w:rPr>
              <w:t>5</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jc w:val="left"/>
              <w:rPr>
                <w:rFonts w:ascii="宋体"/>
                <w:szCs w:val="24"/>
                <w:highlight w:val="none"/>
              </w:rPr>
            </w:pPr>
            <w:r>
              <w:rPr>
                <w:rFonts w:hint="eastAsia" w:ascii="宋体" w:hAnsi="宋体"/>
                <w:szCs w:val="24"/>
                <w:highlight w:val="none"/>
              </w:rPr>
              <w:t>进度控制措施</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5</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说明进度控制的原则、任务和工作制度，对总进度目标的分解合理，能体现预控水平和全面控制水平；预控方法及手段明确，有进度控制要点，能根据工程和当地施工水平、气候等特点，提出合理施工进度计划（</w:t>
            </w:r>
            <w:r>
              <w:rPr>
                <w:rFonts w:hint="eastAsia" w:ascii="宋体" w:hAnsi="宋体"/>
                <w:szCs w:val="24"/>
                <w:highlight w:val="none"/>
                <w:lang w:val="en-US" w:eastAsia="zh-CN"/>
              </w:rPr>
              <w:t>3</w:t>
            </w:r>
            <w:r>
              <w:rPr>
                <w:rFonts w:ascii="宋体" w:hAnsi="宋体"/>
                <w:szCs w:val="24"/>
                <w:highlight w:val="none"/>
              </w:rPr>
              <w:t>-</w:t>
            </w:r>
            <w:r>
              <w:rPr>
                <w:rFonts w:hint="eastAsia" w:ascii="宋体" w:hAnsi="宋体"/>
                <w:szCs w:val="24"/>
                <w:highlight w:val="none"/>
                <w:lang w:val="en-US" w:eastAsia="zh-CN"/>
              </w:rPr>
              <w:t>5</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jc w:val="left"/>
              <w:rPr>
                <w:rFonts w:ascii="宋体"/>
                <w:szCs w:val="24"/>
                <w:highlight w:val="none"/>
              </w:rPr>
            </w:pPr>
            <w:r>
              <w:rPr>
                <w:rFonts w:hint="eastAsia" w:ascii="宋体" w:hAnsi="宋体"/>
                <w:szCs w:val="24"/>
                <w:highlight w:val="none"/>
              </w:rPr>
              <w:t>成本控制措施</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5</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根据工程的实际情况有针对性提出造价控制的措施，造价控制的原则、任务及制度合理，要有工程计量、计价的控制方法和内容；工程款支付、结算、索赔等预控措施合理；措施得力，能运用技术、经济手段、合同措施确保实现投资控制目标，能针对项目特点，对资金运用提出合理化建议（</w:t>
            </w:r>
            <w:r>
              <w:rPr>
                <w:rFonts w:hint="eastAsia" w:ascii="宋体" w:hAnsi="宋体"/>
                <w:szCs w:val="24"/>
                <w:highlight w:val="none"/>
                <w:lang w:val="en-US" w:eastAsia="zh-CN"/>
              </w:rPr>
              <w:t>3</w:t>
            </w:r>
            <w:r>
              <w:rPr>
                <w:rFonts w:ascii="宋体" w:hAnsi="宋体"/>
                <w:szCs w:val="24"/>
                <w:highlight w:val="none"/>
              </w:rPr>
              <w:t>-</w:t>
            </w:r>
            <w:r>
              <w:rPr>
                <w:rFonts w:hint="eastAsia" w:ascii="宋体" w:hAnsi="宋体"/>
                <w:szCs w:val="24"/>
                <w:highlight w:val="none"/>
                <w:lang w:val="en-US" w:eastAsia="zh-CN"/>
              </w:rPr>
              <w:t>5</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jc w:val="left"/>
              <w:rPr>
                <w:rFonts w:ascii="宋体"/>
                <w:szCs w:val="24"/>
                <w:highlight w:val="none"/>
              </w:rPr>
            </w:pPr>
            <w:r>
              <w:rPr>
                <w:rFonts w:hint="eastAsia" w:ascii="宋体" w:hAnsi="宋体"/>
                <w:szCs w:val="24"/>
                <w:highlight w:val="none"/>
              </w:rPr>
              <w:t>组织协调措施</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3</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hint="eastAsia" w:ascii="宋体" w:eastAsia="宋体"/>
                <w:szCs w:val="24"/>
                <w:highlight w:val="none"/>
                <w:lang w:eastAsia="zh-CN"/>
              </w:rPr>
            </w:pPr>
            <w:r>
              <w:rPr>
                <w:rFonts w:hint="eastAsia" w:ascii="宋体" w:hAnsi="宋体"/>
                <w:szCs w:val="24"/>
                <w:highlight w:val="none"/>
              </w:rPr>
              <w:t>对组织协调措施是否明确可行等酌情评分（</w:t>
            </w:r>
            <w:r>
              <w:rPr>
                <w:rFonts w:hint="eastAsia" w:ascii="宋体"/>
                <w:szCs w:val="24"/>
                <w:highlight w:val="none"/>
                <w:lang w:val="en-US" w:eastAsia="zh-CN"/>
              </w:rPr>
              <w:t>1</w:t>
            </w:r>
            <w:r>
              <w:rPr>
                <w:rFonts w:ascii="宋体"/>
                <w:szCs w:val="24"/>
                <w:highlight w:val="none"/>
              </w:rPr>
              <w:t>-</w:t>
            </w:r>
            <w:r>
              <w:rPr>
                <w:rFonts w:hint="eastAsia" w:ascii="宋体"/>
                <w:szCs w:val="24"/>
                <w:highlight w:val="none"/>
                <w:lang w:val="en-US" w:eastAsia="zh-CN"/>
              </w:rPr>
              <w:t>3</w:t>
            </w:r>
            <w:r>
              <w:rPr>
                <w:rFonts w:hint="eastAsia" w:ascii="宋体" w:hAnsi="宋体"/>
                <w:szCs w:val="24"/>
                <w:highlight w:val="none"/>
              </w:rPr>
              <w:t>分）</w:t>
            </w:r>
            <w:r>
              <w:rPr>
                <w:rFonts w:hint="eastAsia" w:ascii="宋体" w:hAnsi="宋体"/>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jc w:val="left"/>
              <w:rPr>
                <w:rFonts w:ascii="宋体"/>
                <w:szCs w:val="24"/>
                <w:highlight w:val="none"/>
              </w:rPr>
            </w:pPr>
            <w:r>
              <w:rPr>
                <w:rFonts w:hint="eastAsia" w:ascii="宋体" w:hAnsi="宋体"/>
                <w:szCs w:val="24"/>
                <w:highlight w:val="none"/>
              </w:rPr>
              <w:t>安全生产文明施工</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5</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对安全控制的方法科学、合理，具有先进性，目标明确，措施得力，有针对性，能满足招标文件提出的目标要求，有切实可行的安全管理、文明施工的监理措施，有完善的文明监理、现场监理制度（</w:t>
            </w:r>
            <w:r>
              <w:rPr>
                <w:rFonts w:hint="eastAsia" w:ascii="宋体"/>
                <w:szCs w:val="24"/>
                <w:highlight w:val="none"/>
                <w:lang w:val="en-US" w:eastAsia="zh-CN"/>
              </w:rPr>
              <w:t>2</w:t>
            </w:r>
            <w:r>
              <w:rPr>
                <w:rFonts w:ascii="宋体" w:hAnsi="宋体"/>
                <w:szCs w:val="24"/>
                <w:highlight w:val="none"/>
              </w:rPr>
              <w:t>-</w:t>
            </w:r>
            <w:r>
              <w:rPr>
                <w:rFonts w:hint="eastAsia" w:ascii="宋体" w:hAnsi="宋体"/>
                <w:szCs w:val="24"/>
                <w:highlight w:val="none"/>
                <w:lang w:val="en-US" w:eastAsia="zh-CN"/>
              </w:rPr>
              <w:t>5</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noWrap w:val="0"/>
            <w:vAlign w:val="center"/>
          </w:tcPr>
          <w:p>
            <w:pPr>
              <w:spacing w:line="360" w:lineRule="auto"/>
              <w:rPr>
                <w:rFonts w:ascii="宋体"/>
                <w:szCs w:val="24"/>
                <w:highlight w:val="none"/>
              </w:rPr>
            </w:pPr>
            <w:r>
              <w:rPr>
                <w:rFonts w:hint="eastAsia" w:ascii="宋体" w:hAnsi="宋体"/>
                <w:szCs w:val="24"/>
                <w:highlight w:val="none"/>
              </w:rPr>
              <w:t>合同和信息管理</w:t>
            </w:r>
          </w:p>
        </w:tc>
        <w:tc>
          <w:tcPr>
            <w:tcW w:w="534" w:type="pct"/>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2</w:t>
            </w:r>
            <w:r>
              <w:rPr>
                <w:rFonts w:ascii="宋体" w:hAnsi="宋体"/>
                <w:szCs w:val="24"/>
                <w:highlight w:val="none"/>
                <w:u w:val="single"/>
              </w:rPr>
              <w:t xml:space="preserve"> </w:t>
            </w:r>
            <w:r>
              <w:rPr>
                <w:rFonts w:hint="eastAsia" w:ascii="宋体" w:hAnsi="宋体"/>
                <w:szCs w:val="24"/>
                <w:highlight w:val="none"/>
              </w:rPr>
              <w:t>分</w:t>
            </w:r>
          </w:p>
        </w:tc>
        <w:tc>
          <w:tcPr>
            <w:tcW w:w="2421" w:type="pct"/>
            <w:noWrap w:val="0"/>
            <w:vAlign w:val="top"/>
          </w:tcPr>
          <w:p>
            <w:pPr>
              <w:spacing w:line="360" w:lineRule="auto"/>
              <w:jc w:val="left"/>
              <w:rPr>
                <w:rFonts w:ascii="宋体"/>
                <w:szCs w:val="24"/>
                <w:highlight w:val="none"/>
              </w:rPr>
            </w:pPr>
            <w:r>
              <w:rPr>
                <w:rFonts w:hint="eastAsia" w:ascii="宋体" w:hAnsi="宋体"/>
                <w:szCs w:val="24"/>
                <w:highlight w:val="none"/>
              </w:rPr>
              <w:t>内容齐全，能根据合同具体条款，公正调解合同纠纷，公正处理合同索赔，根据工程特点制定了索赔与反索赔具体措施；有减少工程延期发生的预控措施，对工程延期的管理办法切实可行；根据工程实际，列举信息管理的内容（</w:t>
            </w:r>
            <w:r>
              <w:rPr>
                <w:rFonts w:hint="eastAsia" w:ascii="宋体" w:hAnsi="宋体"/>
                <w:szCs w:val="24"/>
                <w:highlight w:val="none"/>
                <w:lang w:val="en-US" w:eastAsia="zh-CN"/>
              </w:rPr>
              <w:t>1</w:t>
            </w:r>
            <w:r>
              <w:rPr>
                <w:rFonts w:ascii="宋体" w:hAnsi="宋体"/>
                <w:szCs w:val="24"/>
                <w:highlight w:val="none"/>
              </w:rPr>
              <w:t>-</w:t>
            </w:r>
            <w:r>
              <w:rPr>
                <w:rFonts w:hint="eastAsia" w:ascii="宋体" w:hAnsi="宋体"/>
                <w:szCs w:val="24"/>
                <w:highlight w:val="none"/>
                <w:lang w:val="en-US" w:eastAsia="zh-CN"/>
              </w:rPr>
              <w:t>2</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restart"/>
            <w:noWrap w:val="0"/>
            <w:vAlign w:val="center"/>
          </w:tcPr>
          <w:p>
            <w:pPr>
              <w:spacing w:line="360" w:lineRule="auto"/>
              <w:jc w:val="center"/>
              <w:rPr>
                <w:rFonts w:ascii="宋体"/>
                <w:szCs w:val="21"/>
                <w:highlight w:val="none"/>
              </w:rPr>
            </w:pPr>
            <w:r>
              <w:rPr>
                <w:rFonts w:ascii="宋体" w:hAnsi="宋体"/>
                <w:szCs w:val="21"/>
                <w:highlight w:val="none"/>
              </w:rPr>
              <w:t>2.2.1</w:t>
            </w:r>
          </w:p>
          <w:p>
            <w:pPr>
              <w:spacing w:line="360" w:lineRule="auto"/>
              <w:jc w:val="center"/>
              <w:rPr>
                <w:rFonts w:ascii="宋体"/>
                <w:szCs w:val="21"/>
                <w:highlight w:val="none"/>
              </w:rPr>
            </w:pPr>
            <w:r>
              <w:rPr>
                <w:rFonts w:ascii="宋体" w:hAnsi="宋体"/>
                <w:szCs w:val="21"/>
                <w:highlight w:val="none"/>
              </w:rPr>
              <w:t>(2)</w:t>
            </w:r>
          </w:p>
        </w:tc>
        <w:tc>
          <w:tcPr>
            <w:tcW w:w="459" w:type="pct"/>
            <w:vMerge w:val="restart"/>
            <w:noWrap w:val="0"/>
            <w:vAlign w:val="center"/>
          </w:tcPr>
          <w:p>
            <w:pPr>
              <w:spacing w:line="360" w:lineRule="auto"/>
              <w:jc w:val="center"/>
              <w:rPr>
                <w:rFonts w:ascii="宋体"/>
                <w:szCs w:val="21"/>
                <w:highlight w:val="none"/>
              </w:rPr>
            </w:pPr>
            <w:r>
              <w:rPr>
                <w:rFonts w:hint="eastAsia" w:ascii="宋体" w:hAnsi="宋体"/>
                <w:szCs w:val="21"/>
                <w:highlight w:val="none"/>
              </w:rPr>
              <w:t>资质</w:t>
            </w:r>
          </w:p>
          <w:p>
            <w:pPr>
              <w:spacing w:line="360" w:lineRule="auto"/>
              <w:jc w:val="center"/>
              <w:rPr>
                <w:rFonts w:ascii="宋体"/>
                <w:szCs w:val="21"/>
                <w:highlight w:val="none"/>
              </w:rPr>
            </w:pPr>
            <w:r>
              <w:rPr>
                <w:rFonts w:hint="eastAsia" w:ascii="宋体" w:hAnsi="宋体"/>
                <w:szCs w:val="21"/>
                <w:highlight w:val="none"/>
              </w:rPr>
              <w:t>业绩</w:t>
            </w:r>
          </w:p>
          <w:p>
            <w:pPr>
              <w:spacing w:line="360" w:lineRule="auto"/>
              <w:jc w:val="center"/>
              <w:rPr>
                <w:rFonts w:ascii="宋体"/>
                <w:szCs w:val="21"/>
                <w:highlight w:val="none"/>
              </w:rPr>
            </w:pPr>
            <w:r>
              <w:rPr>
                <w:rFonts w:hint="eastAsia" w:ascii="宋体" w:hAnsi="宋体"/>
                <w:szCs w:val="21"/>
                <w:highlight w:val="none"/>
              </w:rPr>
              <w:t>管理</w:t>
            </w:r>
          </w:p>
          <w:p>
            <w:pPr>
              <w:spacing w:line="360" w:lineRule="auto"/>
              <w:jc w:val="center"/>
              <w:rPr>
                <w:rFonts w:ascii="宋体"/>
                <w:szCs w:val="21"/>
                <w:highlight w:val="none"/>
              </w:rPr>
            </w:pPr>
            <w:r>
              <w:rPr>
                <w:rFonts w:hint="eastAsia" w:ascii="宋体" w:hAnsi="宋体"/>
                <w:szCs w:val="21"/>
                <w:highlight w:val="none"/>
              </w:rPr>
              <w:t>机构</w:t>
            </w:r>
          </w:p>
        </w:tc>
        <w:tc>
          <w:tcPr>
            <w:tcW w:w="1144" w:type="pct"/>
            <w:noWrap w:val="0"/>
            <w:vAlign w:val="center"/>
          </w:tcPr>
          <w:p>
            <w:pPr>
              <w:jc w:val="center"/>
              <w:rPr>
                <w:rFonts w:ascii="宋体"/>
                <w:szCs w:val="24"/>
                <w:highlight w:val="none"/>
              </w:rPr>
            </w:pPr>
            <w:r>
              <w:rPr>
                <w:rStyle w:val="10"/>
                <w:rFonts w:hint="eastAsia"/>
                <w:bCs/>
                <w:szCs w:val="21"/>
                <w:highlight w:val="none"/>
              </w:rPr>
              <w:t>评分因素</w:t>
            </w:r>
          </w:p>
        </w:tc>
        <w:tc>
          <w:tcPr>
            <w:tcW w:w="534" w:type="pct"/>
            <w:noWrap w:val="0"/>
            <w:vAlign w:val="center"/>
          </w:tcPr>
          <w:p>
            <w:pPr>
              <w:jc w:val="center"/>
              <w:rPr>
                <w:rFonts w:ascii="宋体"/>
                <w:szCs w:val="24"/>
                <w:highlight w:val="none"/>
              </w:rPr>
            </w:pPr>
            <w:r>
              <w:rPr>
                <w:rStyle w:val="10"/>
                <w:rFonts w:hint="eastAsia"/>
                <w:bCs/>
                <w:szCs w:val="21"/>
                <w:highlight w:val="none"/>
              </w:rPr>
              <w:t>分值</w:t>
            </w:r>
          </w:p>
        </w:tc>
        <w:tc>
          <w:tcPr>
            <w:tcW w:w="2421" w:type="pct"/>
            <w:noWrap w:val="0"/>
            <w:vAlign w:val="center"/>
          </w:tcPr>
          <w:p>
            <w:pPr>
              <w:jc w:val="center"/>
              <w:rPr>
                <w:rFonts w:ascii="宋体"/>
                <w:szCs w:val="24"/>
                <w:highlight w:val="none"/>
              </w:rPr>
            </w:pPr>
            <w:r>
              <w:rPr>
                <w:rStyle w:val="10"/>
                <w:rFonts w:hint="eastAsia"/>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noWrap w:val="0"/>
            <w:vAlign w:val="center"/>
          </w:tcPr>
          <w:p>
            <w:pPr>
              <w:spacing w:line="360" w:lineRule="auto"/>
              <w:jc w:val="center"/>
              <w:rPr>
                <w:rFonts w:ascii="宋体"/>
                <w:szCs w:val="24"/>
                <w:highlight w:val="none"/>
              </w:rPr>
            </w:pPr>
          </w:p>
        </w:tc>
        <w:tc>
          <w:tcPr>
            <w:tcW w:w="1144" w:type="pct"/>
            <w:tcBorders>
              <w:bottom w:val="single" w:color="auto" w:sz="4" w:space="0"/>
            </w:tcBorders>
            <w:noWrap w:val="0"/>
            <w:vAlign w:val="center"/>
          </w:tcPr>
          <w:p>
            <w:pPr>
              <w:spacing w:line="360" w:lineRule="auto"/>
              <w:rPr>
                <w:rFonts w:ascii="宋体"/>
                <w:szCs w:val="24"/>
                <w:highlight w:val="none"/>
              </w:rPr>
            </w:pPr>
            <w:r>
              <w:rPr>
                <w:rFonts w:hint="eastAsia" w:ascii="宋体"/>
                <w:szCs w:val="21"/>
                <w:highlight w:val="none"/>
              </w:rPr>
              <w:t>企业资质等级</w:t>
            </w:r>
          </w:p>
        </w:tc>
        <w:tc>
          <w:tcPr>
            <w:tcW w:w="534" w:type="pct"/>
            <w:tcBorders>
              <w:bottom w:val="single" w:color="auto" w:sz="4" w:space="0"/>
            </w:tcBorders>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1</w:t>
            </w:r>
            <w:r>
              <w:rPr>
                <w:rFonts w:ascii="宋体" w:hAnsi="宋体"/>
                <w:szCs w:val="24"/>
                <w:highlight w:val="none"/>
                <w:u w:val="single"/>
              </w:rPr>
              <w:t xml:space="preserve"> </w:t>
            </w:r>
            <w:r>
              <w:rPr>
                <w:rFonts w:hint="eastAsia" w:ascii="宋体" w:hAnsi="宋体"/>
                <w:szCs w:val="24"/>
                <w:highlight w:val="none"/>
              </w:rPr>
              <w:t>分</w:t>
            </w:r>
          </w:p>
        </w:tc>
        <w:tc>
          <w:tcPr>
            <w:tcW w:w="2421" w:type="pct"/>
            <w:tcBorders>
              <w:bottom w:val="single" w:color="auto" w:sz="4" w:space="0"/>
            </w:tcBorders>
            <w:noWrap w:val="0"/>
            <w:vAlign w:val="center"/>
          </w:tcPr>
          <w:p>
            <w:pPr>
              <w:spacing w:line="360" w:lineRule="auto"/>
              <w:rPr>
                <w:rFonts w:ascii="宋体" w:hAnsi="宋体"/>
                <w:szCs w:val="24"/>
                <w:highlight w:val="none"/>
                <w:u w:val="single"/>
              </w:rPr>
            </w:pPr>
            <w:r>
              <w:rPr>
                <w:rFonts w:ascii="宋体" w:hAnsi="宋体"/>
                <w:szCs w:val="24"/>
                <w:highlight w:val="none"/>
                <w:u w:val="single"/>
              </w:rPr>
              <w:t xml:space="preserve"> </w:t>
            </w:r>
            <w:r>
              <w:rPr>
                <w:rFonts w:hint="eastAsia" w:ascii="宋体" w:hAnsi="宋体"/>
                <w:szCs w:val="24"/>
                <w:highlight w:val="none"/>
                <w:u w:val="single"/>
                <w:lang w:val="en-US" w:eastAsia="zh-CN"/>
              </w:rPr>
              <w:t>工程监理综合资质或房屋建筑工程甲级监理</w:t>
            </w:r>
            <w:r>
              <w:rPr>
                <w:rFonts w:ascii="宋体" w:hAnsi="宋体"/>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tcBorders>
              <w:right w:val="single" w:color="auto" w:sz="4" w:space="0"/>
            </w:tcBorders>
            <w:noWrap w:val="0"/>
            <w:vAlign w:val="center"/>
          </w:tcPr>
          <w:p>
            <w:pPr>
              <w:spacing w:line="360" w:lineRule="auto"/>
              <w:jc w:val="center"/>
              <w:rPr>
                <w:rFonts w:ascii="宋体"/>
                <w:szCs w:val="24"/>
                <w:highlight w:val="none"/>
              </w:rPr>
            </w:pPr>
          </w:p>
        </w:tc>
        <w:tc>
          <w:tcPr>
            <w:tcW w:w="11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szCs w:val="24"/>
                <w:highlight w:val="none"/>
              </w:rPr>
            </w:pPr>
            <w:r>
              <w:rPr>
                <w:rFonts w:hint="eastAsia" w:ascii="宋体"/>
                <w:szCs w:val="21"/>
                <w:highlight w:val="none"/>
              </w:rPr>
              <w:t>企业业绩</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宋体"/>
                <w:szCs w:val="24"/>
                <w:highlight w:val="none"/>
              </w:rPr>
            </w:pPr>
            <w:r>
              <w:rPr>
                <w:rFonts w:ascii="宋体" w:hAnsi="宋体"/>
                <w:szCs w:val="24"/>
                <w:highlight w:val="none"/>
                <w:u w:val="single"/>
              </w:rPr>
              <w:t xml:space="preserve"> </w:t>
            </w:r>
            <w:r>
              <w:rPr>
                <w:rFonts w:hint="eastAsia" w:ascii="宋体" w:hAnsi="宋体"/>
                <w:szCs w:val="24"/>
                <w:highlight w:val="none"/>
                <w:u w:val="single"/>
                <w:lang w:val="en-US" w:eastAsia="zh-CN"/>
              </w:rPr>
              <w:t>7</w:t>
            </w:r>
            <w:r>
              <w:rPr>
                <w:rFonts w:ascii="宋体" w:hAnsi="宋体"/>
                <w:szCs w:val="24"/>
                <w:highlight w:val="none"/>
                <w:u w:val="single"/>
              </w:rPr>
              <w:t xml:space="preserve"> </w:t>
            </w:r>
            <w:r>
              <w:rPr>
                <w:rFonts w:hint="eastAsia" w:ascii="宋体" w:hAnsi="宋体"/>
                <w:szCs w:val="24"/>
                <w:highlight w:val="none"/>
              </w:rPr>
              <w:t>分</w:t>
            </w:r>
          </w:p>
        </w:tc>
        <w:tc>
          <w:tcPr>
            <w:tcW w:w="2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szCs w:val="24"/>
                <w:highlight w:val="none"/>
              </w:rPr>
            </w:pPr>
            <w:r>
              <w:rPr>
                <w:rFonts w:hint="eastAsia" w:ascii="宋体" w:hAnsi="宋体"/>
                <w:szCs w:val="24"/>
                <w:highlight w:val="none"/>
                <w:u w:val="double"/>
              </w:rPr>
              <w:t>已完成监理类似业绩个数满足第二章“投标人须知前附表”第</w:t>
            </w:r>
            <w:r>
              <w:rPr>
                <w:rFonts w:ascii="宋体" w:hAnsi="宋体"/>
                <w:szCs w:val="24"/>
                <w:highlight w:val="none"/>
                <w:u w:val="double"/>
              </w:rPr>
              <w:t>1.4.1</w:t>
            </w:r>
            <w:r>
              <w:rPr>
                <w:rFonts w:hint="eastAsia" w:ascii="宋体" w:hAnsi="宋体"/>
                <w:szCs w:val="24"/>
                <w:highlight w:val="none"/>
                <w:u w:val="double"/>
              </w:rPr>
              <w:t>项的得</w:t>
            </w:r>
            <w:r>
              <w:rPr>
                <w:rFonts w:ascii="宋体" w:hAnsi="宋体"/>
                <w:szCs w:val="24"/>
                <w:highlight w:val="none"/>
                <w:u w:val="double"/>
              </w:rPr>
              <w:t xml:space="preserve"> </w:t>
            </w:r>
            <w:r>
              <w:rPr>
                <w:rFonts w:hint="eastAsia" w:ascii="宋体" w:hAnsi="宋体"/>
                <w:szCs w:val="24"/>
                <w:highlight w:val="none"/>
                <w:u w:val="double"/>
                <w:lang w:val="en-US" w:eastAsia="zh-CN"/>
              </w:rPr>
              <w:t>5</w:t>
            </w:r>
            <w:r>
              <w:rPr>
                <w:rFonts w:ascii="宋体" w:hAnsi="宋体"/>
                <w:szCs w:val="24"/>
                <w:highlight w:val="none"/>
                <w:u w:val="double"/>
              </w:rPr>
              <w:t xml:space="preserve"> </w:t>
            </w:r>
            <w:r>
              <w:rPr>
                <w:rFonts w:hint="eastAsia" w:ascii="宋体" w:hAnsi="宋体"/>
                <w:szCs w:val="24"/>
                <w:highlight w:val="none"/>
                <w:u w:val="double"/>
              </w:rPr>
              <w:t>分，在此基础上每增加一个类似监理业绩加</w:t>
            </w:r>
            <w:r>
              <w:rPr>
                <w:rFonts w:ascii="宋体" w:hAnsi="宋体"/>
                <w:szCs w:val="24"/>
                <w:highlight w:val="none"/>
                <w:u w:val="double"/>
              </w:rPr>
              <w:t xml:space="preserve"> </w:t>
            </w:r>
            <w:r>
              <w:rPr>
                <w:rFonts w:hint="eastAsia" w:ascii="宋体" w:hAnsi="宋体"/>
                <w:szCs w:val="24"/>
                <w:highlight w:val="none"/>
                <w:u w:val="double"/>
                <w:lang w:val="en-US" w:eastAsia="zh-CN"/>
              </w:rPr>
              <w:t>0.5</w:t>
            </w:r>
            <w:r>
              <w:rPr>
                <w:rFonts w:ascii="宋体" w:hAnsi="宋体"/>
                <w:szCs w:val="24"/>
                <w:highlight w:val="none"/>
                <w:u w:val="double"/>
              </w:rPr>
              <w:t xml:space="preserve"> </w:t>
            </w:r>
            <w:r>
              <w:rPr>
                <w:rFonts w:hint="eastAsia" w:ascii="宋体" w:hAnsi="宋体"/>
                <w:szCs w:val="24"/>
                <w:highlight w:val="none"/>
                <w:u w:val="double"/>
              </w:rPr>
              <w:t>分（最多</w:t>
            </w:r>
            <w:r>
              <w:rPr>
                <w:rFonts w:hint="eastAsia" w:ascii="宋体" w:hAnsi="宋体"/>
                <w:szCs w:val="24"/>
                <w:highlight w:val="none"/>
                <w:u w:val="double"/>
                <w:lang w:val="en-US" w:eastAsia="zh-CN"/>
              </w:rPr>
              <w:t>4</w:t>
            </w:r>
            <w:r>
              <w:rPr>
                <w:rFonts w:hint="eastAsia" w:ascii="宋体" w:hAnsi="宋体"/>
                <w:szCs w:val="24"/>
                <w:highlight w:val="none"/>
                <w:u w:val="double"/>
              </w:rPr>
              <w:t>个）。本项最高得</w:t>
            </w:r>
            <w:r>
              <w:rPr>
                <w:rFonts w:ascii="宋体" w:hAnsi="宋体"/>
                <w:szCs w:val="24"/>
                <w:highlight w:val="none"/>
                <w:u w:val="double"/>
              </w:rPr>
              <w:t xml:space="preserve"> </w:t>
            </w:r>
            <w:r>
              <w:rPr>
                <w:rFonts w:hint="eastAsia" w:ascii="宋体" w:hAnsi="宋体"/>
                <w:szCs w:val="24"/>
                <w:highlight w:val="none"/>
                <w:u w:val="double"/>
                <w:lang w:val="en-US" w:eastAsia="zh-CN"/>
              </w:rPr>
              <w:t>7</w:t>
            </w:r>
            <w:r>
              <w:rPr>
                <w:rFonts w:ascii="宋体" w:hAnsi="宋体"/>
                <w:szCs w:val="24"/>
                <w:highlight w:val="none"/>
                <w:u w:val="double"/>
              </w:rPr>
              <w:t xml:space="preserve"> </w:t>
            </w:r>
            <w:r>
              <w:rPr>
                <w:rFonts w:hint="eastAsia" w:ascii="宋体" w:hAnsi="宋体"/>
                <w:szCs w:val="24"/>
                <w:highlight w:val="none"/>
                <w:u w:val="doub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tcBorders>
              <w:right w:val="single" w:color="auto" w:sz="4" w:space="0"/>
            </w:tcBorders>
            <w:noWrap w:val="0"/>
            <w:vAlign w:val="center"/>
          </w:tcPr>
          <w:p>
            <w:pPr>
              <w:spacing w:line="360" w:lineRule="auto"/>
              <w:jc w:val="center"/>
              <w:rPr>
                <w:rFonts w:ascii="宋体"/>
                <w:szCs w:val="24"/>
                <w:highlight w:val="none"/>
              </w:rPr>
            </w:pPr>
          </w:p>
        </w:tc>
        <w:tc>
          <w:tcPr>
            <w:tcW w:w="11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kern w:val="2"/>
                <w:sz w:val="21"/>
                <w:szCs w:val="24"/>
                <w:highlight w:val="none"/>
                <w:lang w:val="en-US" w:eastAsia="zh-CN" w:bidi="ar-SA"/>
              </w:rPr>
            </w:pPr>
            <w:r>
              <w:rPr>
                <w:rFonts w:hint="eastAsia" w:ascii="宋体" w:hAnsi="宋体"/>
                <w:szCs w:val="24"/>
                <w:highlight w:val="none"/>
              </w:rPr>
              <w:t>项目总监任职资格与业绩</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宋体"/>
                <w:kern w:val="2"/>
                <w:sz w:val="21"/>
                <w:szCs w:val="24"/>
                <w:highlight w:val="none"/>
                <w:lang w:val="en-US" w:eastAsia="zh-CN" w:bidi="ar-SA"/>
              </w:rPr>
            </w:pPr>
            <w:r>
              <w:rPr>
                <w:rFonts w:ascii="宋体" w:hAnsi="宋体"/>
                <w:szCs w:val="24"/>
                <w:highlight w:val="none"/>
                <w:u w:val="single"/>
              </w:rPr>
              <w:t xml:space="preserve"> </w:t>
            </w:r>
            <w:r>
              <w:rPr>
                <w:rFonts w:hint="eastAsia" w:ascii="宋体" w:hAnsi="宋体"/>
                <w:szCs w:val="24"/>
                <w:highlight w:val="none"/>
                <w:u w:val="single"/>
                <w:lang w:val="en-US" w:eastAsia="zh-CN"/>
              </w:rPr>
              <w:t>5</w:t>
            </w:r>
            <w:r>
              <w:rPr>
                <w:rFonts w:ascii="宋体" w:hAnsi="宋体"/>
                <w:szCs w:val="24"/>
                <w:highlight w:val="none"/>
                <w:u w:val="single"/>
              </w:rPr>
              <w:t xml:space="preserve"> </w:t>
            </w:r>
            <w:r>
              <w:rPr>
                <w:rFonts w:hint="eastAsia" w:ascii="宋体" w:hAnsi="宋体"/>
                <w:szCs w:val="24"/>
                <w:highlight w:val="none"/>
              </w:rPr>
              <w:t>分</w:t>
            </w:r>
          </w:p>
        </w:tc>
        <w:tc>
          <w:tcPr>
            <w:tcW w:w="2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kern w:val="2"/>
                <w:sz w:val="21"/>
                <w:szCs w:val="24"/>
                <w:highlight w:val="none"/>
                <w:lang w:val="en-US" w:eastAsia="zh-CN" w:bidi="ar-SA"/>
              </w:rPr>
            </w:pPr>
            <w:r>
              <w:rPr>
                <w:rFonts w:hint="eastAsia" w:ascii="宋体" w:hAnsi="宋体"/>
                <w:szCs w:val="24"/>
                <w:highlight w:val="none"/>
                <w:u w:val="double"/>
              </w:rPr>
              <w:t>总监符合招标文件各项要求的得</w:t>
            </w:r>
            <w:r>
              <w:rPr>
                <w:rFonts w:ascii="宋体" w:hAnsi="宋体"/>
                <w:szCs w:val="24"/>
                <w:highlight w:val="none"/>
                <w:u w:val="double"/>
              </w:rPr>
              <w:t xml:space="preserve"> </w:t>
            </w:r>
            <w:r>
              <w:rPr>
                <w:rFonts w:hint="eastAsia" w:ascii="宋体" w:hAnsi="宋体"/>
                <w:szCs w:val="24"/>
                <w:highlight w:val="none"/>
                <w:u w:val="double"/>
                <w:lang w:val="en-US" w:eastAsia="zh-CN"/>
              </w:rPr>
              <w:t>2</w:t>
            </w:r>
            <w:r>
              <w:rPr>
                <w:rFonts w:ascii="宋体" w:hAnsi="宋体"/>
                <w:szCs w:val="24"/>
                <w:highlight w:val="none"/>
                <w:u w:val="double"/>
              </w:rPr>
              <w:t xml:space="preserve"> </w:t>
            </w:r>
            <w:r>
              <w:rPr>
                <w:rFonts w:hint="eastAsia" w:ascii="宋体" w:hAnsi="宋体"/>
                <w:szCs w:val="24"/>
                <w:highlight w:val="none"/>
                <w:u w:val="double"/>
              </w:rPr>
              <w:t>分，同时具有</w:t>
            </w:r>
            <w:r>
              <w:rPr>
                <w:rFonts w:ascii="宋体" w:hAnsi="宋体"/>
                <w:szCs w:val="24"/>
                <w:highlight w:val="none"/>
                <w:u w:val="double"/>
              </w:rPr>
              <w:t xml:space="preserve"> </w:t>
            </w:r>
            <w:r>
              <w:rPr>
                <w:rFonts w:hint="eastAsia" w:ascii="宋体" w:hAnsi="宋体"/>
                <w:szCs w:val="24"/>
                <w:highlight w:val="none"/>
                <w:u w:val="double"/>
                <w:lang w:val="en-US" w:eastAsia="zh-CN"/>
              </w:rPr>
              <w:t>1</w:t>
            </w:r>
            <w:r>
              <w:rPr>
                <w:rFonts w:ascii="宋体" w:hAnsi="宋体"/>
                <w:szCs w:val="24"/>
                <w:highlight w:val="none"/>
                <w:u w:val="double"/>
              </w:rPr>
              <w:t xml:space="preserve"> </w:t>
            </w:r>
            <w:r>
              <w:rPr>
                <w:rFonts w:hint="eastAsia" w:ascii="宋体" w:hAnsi="宋体"/>
                <w:szCs w:val="24"/>
                <w:highlight w:val="none"/>
                <w:u w:val="double"/>
              </w:rPr>
              <w:t>职称的得</w:t>
            </w:r>
            <w:r>
              <w:rPr>
                <w:rFonts w:ascii="宋体" w:hAnsi="宋体"/>
                <w:szCs w:val="24"/>
                <w:highlight w:val="none"/>
                <w:u w:val="double"/>
              </w:rPr>
              <w:t xml:space="preserve"> </w:t>
            </w:r>
            <w:r>
              <w:rPr>
                <w:rFonts w:hint="eastAsia" w:ascii="宋体" w:hAnsi="宋体"/>
                <w:szCs w:val="24"/>
                <w:highlight w:val="none"/>
                <w:u w:val="double"/>
                <w:lang w:val="en-US" w:eastAsia="zh-CN"/>
              </w:rPr>
              <w:t>1</w:t>
            </w:r>
            <w:r>
              <w:rPr>
                <w:rFonts w:ascii="宋体" w:hAnsi="宋体"/>
                <w:szCs w:val="24"/>
                <w:highlight w:val="none"/>
                <w:u w:val="double"/>
              </w:rPr>
              <w:t xml:space="preserve"> </w:t>
            </w:r>
            <w:r>
              <w:rPr>
                <w:rFonts w:hint="eastAsia" w:ascii="宋体" w:hAnsi="宋体"/>
                <w:szCs w:val="24"/>
                <w:highlight w:val="none"/>
                <w:u w:val="double"/>
              </w:rPr>
              <w:t>分；总监有</w:t>
            </w:r>
            <w:r>
              <w:rPr>
                <w:rFonts w:ascii="宋体" w:hAnsi="宋体"/>
                <w:szCs w:val="24"/>
                <w:highlight w:val="none"/>
                <w:u w:val="double"/>
              </w:rPr>
              <w:t>1</w:t>
            </w:r>
            <w:r>
              <w:rPr>
                <w:rFonts w:hint="eastAsia" w:ascii="宋体" w:hAnsi="宋体"/>
                <w:szCs w:val="24"/>
                <w:highlight w:val="none"/>
                <w:u w:val="double"/>
              </w:rPr>
              <w:t>个类似监理业绩的得</w:t>
            </w:r>
            <w:r>
              <w:rPr>
                <w:rFonts w:ascii="宋体" w:hAnsi="宋体"/>
                <w:szCs w:val="24"/>
                <w:highlight w:val="none"/>
                <w:u w:val="double"/>
              </w:rPr>
              <w:t xml:space="preserve"> </w:t>
            </w:r>
            <w:r>
              <w:rPr>
                <w:rFonts w:hint="eastAsia" w:ascii="宋体" w:hAnsi="宋体"/>
                <w:szCs w:val="24"/>
                <w:highlight w:val="none"/>
                <w:u w:val="double"/>
                <w:lang w:val="en-US" w:eastAsia="zh-CN"/>
              </w:rPr>
              <w:t>1</w:t>
            </w:r>
            <w:r>
              <w:rPr>
                <w:rFonts w:ascii="宋体" w:hAnsi="宋体"/>
                <w:szCs w:val="24"/>
                <w:highlight w:val="none"/>
                <w:u w:val="double"/>
              </w:rPr>
              <w:t xml:space="preserve"> </w:t>
            </w:r>
            <w:r>
              <w:rPr>
                <w:rFonts w:hint="eastAsia" w:ascii="宋体" w:hAnsi="宋体"/>
                <w:szCs w:val="24"/>
                <w:highlight w:val="none"/>
                <w:u w:val="double"/>
              </w:rPr>
              <w:t>分，每增加</w:t>
            </w:r>
            <w:r>
              <w:rPr>
                <w:rFonts w:ascii="宋体" w:hAnsi="宋体"/>
                <w:szCs w:val="24"/>
                <w:highlight w:val="none"/>
                <w:u w:val="double"/>
              </w:rPr>
              <w:t>1</w:t>
            </w:r>
            <w:r>
              <w:rPr>
                <w:rFonts w:hint="eastAsia" w:ascii="宋体" w:hAnsi="宋体"/>
                <w:szCs w:val="24"/>
                <w:highlight w:val="none"/>
                <w:u w:val="double"/>
              </w:rPr>
              <w:t>个类似监理业绩的得</w:t>
            </w:r>
            <w:r>
              <w:rPr>
                <w:rFonts w:hint="eastAsia" w:ascii="宋体" w:hAnsi="宋体"/>
                <w:szCs w:val="24"/>
                <w:highlight w:val="none"/>
                <w:u w:val="double"/>
                <w:lang w:val="en-US" w:eastAsia="zh-CN"/>
              </w:rPr>
              <w:t>0.5</w:t>
            </w:r>
            <w:r>
              <w:rPr>
                <w:rFonts w:hint="eastAsia" w:ascii="宋体" w:hAnsi="宋体"/>
                <w:szCs w:val="24"/>
                <w:highlight w:val="none"/>
                <w:u w:val="double"/>
              </w:rPr>
              <w:t>分（最多不超过</w:t>
            </w:r>
            <w:r>
              <w:rPr>
                <w:rFonts w:ascii="宋体" w:hAnsi="宋体"/>
                <w:szCs w:val="24"/>
                <w:highlight w:val="none"/>
                <w:u w:val="double"/>
              </w:rPr>
              <w:t>2</w:t>
            </w:r>
            <w:r>
              <w:rPr>
                <w:rFonts w:hint="eastAsia" w:ascii="宋体" w:hAnsi="宋体"/>
                <w:szCs w:val="24"/>
                <w:highlight w:val="none"/>
                <w:u w:val="double"/>
              </w:rPr>
              <w:t>个）。本项最高得</w:t>
            </w:r>
            <w:r>
              <w:rPr>
                <w:rFonts w:ascii="宋体" w:hAnsi="宋体"/>
                <w:szCs w:val="24"/>
                <w:highlight w:val="none"/>
                <w:u w:val="double"/>
              </w:rPr>
              <w:t xml:space="preserve"> </w:t>
            </w:r>
            <w:r>
              <w:rPr>
                <w:rFonts w:hint="eastAsia" w:ascii="宋体" w:hAnsi="宋体"/>
                <w:szCs w:val="24"/>
                <w:highlight w:val="none"/>
                <w:u w:val="double"/>
                <w:lang w:val="en-US" w:eastAsia="zh-CN"/>
              </w:rPr>
              <w:t>5</w:t>
            </w:r>
            <w:r>
              <w:rPr>
                <w:rFonts w:ascii="宋体" w:hAnsi="宋体"/>
                <w:szCs w:val="24"/>
                <w:highlight w:val="none"/>
                <w:u w:val="double"/>
              </w:rPr>
              <w:t xml:space="preserve"> </w:t>
            </w:r>
            <w:r>
              <w:rPr>
                <w:rFonts w:hint="eastAsia" w:ascii="宋体" w:hAnsi="宋体"/>
                <w:szCs w:val="24"/>
                <w:highlight w:val="none"/>
                <w:u w:val="doub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60" w:lineRule="auto"/>
              <w:jc w:val="center"/>
              <w:rPr>
                <w:rFonts w:ascii="宋体"/>
                <w:sz w:val="18"/>
                <w:szCs w:val="24"/>
                <w:highlight w:val="none"/>
              </w:rPr>
            </w:pPr>
          </w:p>
        </w:tc>
        <w:tc>
          <w:tcPr>
            <w:tcW w:w="459" w:type="pct"/>
            <w:vMerge w:val="continue"/>
            <w:tcBorders>
              <w:right w:val="single" w:color="auto" w:sz="4" w:space="0"/>
            </w:tcBorders>
            <w:noWrap w:val="0"/>
            <w:vAlign w:val="center"/>
          </w:tcPr>
          <w:p>
            <w:pPr>
              <w:spacing w:line="360" w:lineRule="auto"/>
              <w:jc w:val="center"/>
              <w:rPr>
                <w:rFonts w:ascii="宋体"/>
                <w:szCs w:val="24"/>
                <w:highlight w:val="none"/>
              </w:rPr>
            </w:pPr>
          </w:p>
        </w:tc>
        <w:tc>
          <w:tcPr>
            <w:tcW w:w="114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kern w:val="2"/>
                <w:sz w:val="21"/>
                <w:szCs w:val="24"/>
                <w:highlight w:val="none"/>
                <w:lang w:val="en-US" w:eastAsia="zh-CN" w:bidi="ar-SA"/>
              </w:rPr>
            </w:pPr>
            <w:r>
              <w:rPr>
                <w:rFonts w:hint="eastAsia" w:ascii="宋体" w:hAnsi="宋体"/>
                <w:szCs w:val="24"/>
                <w:highlight w:val="none"/>
              </w:rPr>
              <w:t>现场监理人员</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宋体"/>
                <w:kern w:val="2"/>
                <w:sz w:val="21"/>
                <w:szCs w:val="24"/>
                <w:highlight w:val="none"/>
                <w:lang w:val="en-US" w:eastAsia="zh-CN" w:bidi="ar-SA"/>
              </w:rPr>
            </w:pPr>
            <w:r>
              <w:rPr>
                <w:rFonts w:ascii="宋体" w:hAnsi="宋体"/>
                <w:szCs w:val="24"/>
                <w:highlight w:val="none"/>
                <w:u w:val="single"/>
              </w:rPr>
              <w:t xml:space="preserve"> </w:t>
            </w:r>
            <w:r>
              <w:rPr>
                <w:rFonts w:hint="eastAsia" w:ascii="宋体" w:hAnsi="宋体"/>
                <w:szCs w:val="24"/>
                <w:highlight w:val="none"/>
                <w:u w:val="single"/>
                <w:lang w:val="en-US" w:eastAsia="zh-CN"/>
              </w:rPr>
              <w:t>7</w:t>
            </w:r>
            <w:r>
              <w:rPr>
                <w:rFonts w:ascii="宋体" w:hAnsi="宋体"/>
                <w:szCs w:val="24"/>
                <w:highlight w:val="none"/>
                <w:u w:val="single"/>
              </w:rPr>
              <w:t xml:space="preserve"> </w:t>
            </w:r>
            <w:r>
              <w:rPr>
                <w:rFonts w:hint="eastAsia" w:ascii="宋体" w:hAnsi="宋体"/>
                <w:szCs w:val="24"/>
                <w:highlight w:val="none"/>
              </w:rPr>
              <w:t>分</w:t>
            </w:r>
          </w:p>
        </w:tc>
        <w:tc>
          <w:tcPr>
            <w:tcW w:w="2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szCs w:val="24"/>
                <w:highlight w:val="none"/>
                <w:u w:val="double"/>
              </w:rPr>
            </w:pPr>
            <w:r>
              <w:rPr>
                <w:rFonts w:ascii="宋体" w:hAnsi="宋体"/>
                <w:szCs w:val="24"/>
                <w:highlight w:val="none"/>
                <w:u w:val="double"/>
              </w:rPr>
              <w:t>1</w:t>
            </w:r>
            <w:r>
              <w:rPr>
                <w:rFonts w:hint="eastAsia" w:ascii="宋体" w:hAnsi="宋体"/>
                <w:szCs w:val="24"/>
                <w:highlight w:val="none"/>
                <w:u w:val="double"/>
              </w:rPr>
              <w:t>、</w:t>
            </w:r>
            <w:r>
              <w:rPr>
                <w:rFonts w:hint="eastAsia" w:ascii="宋体" w:hAnsi="宋体"/>
                <w:szCs w:val="24"/>
                <w:highlight w:val="none"/>
                <w:u w:val="double"/>
                <w:lang w:val="en-US" w:eastAsia="zh-CN"/>
              </w:rPr>
              <w:t>房屋建筑</w:t>
            </w:r>
            <w:r>
              <w:rPr>
                <w:rFonts w:hint="eastAsia" w:ascii="宋体" w:hAnsi="宋体"/>
                <w:szCs w:val="24"/>
                <w:highlight w:val="none"/>
                <w:u w:val="double"/>
              </w:rPr>
              <w:t>监理：</w:t>
            </w:r>
          </w:p>
          <w:p>
            <w:pPr>
              <w:spacing w:line="360" w:lineRule="auto"/>
              <w:rPr>
                <w:rFonts w:hint="eastAsia" w:ascii="宋体" w:eastAsia="宋体"/>
                <w:szCs w:val="24"/>
                <w:highlight w:val="none"/>
                <w:u w:val="double"/>
                <w:lang w:eastAsia="zh-CN"/>
              </w:rPr>
            </w:pPr>
            <w:r>
              <w:rPr>
                <w:rFonts w:hint="eastAsia" w:ascii="宋体" w:hAnsi="宋体"/>
                <w:szCs w:val="24"/>
                <w:highlight w:val="none"/>
                <w:u w:val="double"/>
              </w:rPr>
              <w:t>具有全国注册监理工程师</w:t>
            </w:r>
            <w:r>
              <w:rPr>
                <w:rFonts w:hint="eastAsia" w:ascii="宋体" w:hAnsi="宋体"/>
                <w:szCs w:val="24"/>
                <w:highlight w:val="none"/>
                <w:u w:val="double"/>
                <w:lang w:eastAsia="zh-CN"/>
              </w:rPr>
              <w:t>（</w:t>
            </w:r>
            <w:r>
              <w:rPr>
                <w:rFonts w:hint="eastAsia" w:ascii="宋体" w:hAnsi="宋体"/>
                <w:szCs w:val="24"/>
                <w:highlight w:val="none"/>
                <w:u w:val="double"/>
                <w:lang w:val="en-US" w:eastAsia="zh-CN"/>
              </w:rPr>
              <w:t>房屋建筑工程专业</w:t>
            </w:r>
            <w:r>
              <w:rPr>
                <w:rFonts w:hint="eastAsia" w:ascii="宋体" w:hAnsi="宋体"/>
                <w:szCs w:val="24"/>
                <w:highlight w:val="none"/>
                <w:u w:val="double"/>
                <w:lang w:eastAsia="zh-CN"/>
              </w:rPr>
              <w:t>）</w:t>
            </w:r>
            <w:r>
              <w:rPr>
                <w:rFonts w:hint="eastAsia" w:ascii="宋体" w:hAnsi="宋体"/>
                <w:szCs w:val="24"/>
                <w:highlight w:val="none"/>
                <w:u w:val="double"/>
              </w:rPr>
              <w:t>得</w:t>
            </w:r>
            <w:r>
              <w:rPr>
                <w:rFonts w:hint="eastAsia" w:ascii="宋体" w:hAnsi="宋体"/>
                <w:szCs w:val="24"/>
                <w:highlight w:val="none"/>
                <w:u w:val="double"/>
                <w:lang w:val="en-US" w:eastAsia="zh-CN"/>
              </w:rPr>
              <w:t>1</w:t>
            </w:r>
            <w:r>
              <w:rPr>
                <w:rFonts w:hint="eastAsia" w:ascii="宋体" w:hAnsi="宋体"/>
                <w:szCs w:val="24"/>
                <w:highlight w:val="none"/>
                <w:u w:val="double"/>
              </w:rPr>
              <w:t>分，增加</w:t>
            </w:r>
            <w:r>
              <w:rPr>
                <w:rFonts w:ascii="宋体" w:hAnsi="宋体"/>
                <w:szCs w:val="24"/>
                <w:highlight w:val="none"/>
                <w:u w:val="double"/>
              </w:rPr>
              <w:t>1</w:t>
            </w:r>
            <w:r>
              <w:rPr>
                <w:rFonts w:hint="eastAsia" w:ascii="宋体" w:hAnsi="宋体"/>
                <w:szCs w:val="24"/>
                <w:highlight w:val="none"/>
                <w:u w:val="double"/>
              </w:rPr>
              <w:t>名全国注册监理工程师得</w:t>
            </w:r>
            <w:r>
              <w:rPr>
                <w:rFonts w:ascii="宋体" w:hAnsi="宋体"/>
                <w:szCs w:val="24"/>
                <w:highlight w:val="none"/>
                <w:u w:val="double"/>
              </w:rPr>
              <w:t xml:space="preserve"> </w:t>
            </w:r>
            <w:r>
              <w:rPr>
                <w:rFonts w:hint="eastAsia" w:ascii="宋体" w:hAnsi="宋体"/>
                <w:szCs w:val="24"/>
                <w:highlight w:val="none"/>
                <w:u w:val="double"/>
                <w:lang w:val="en-US" w:eastAsia="zh-CN"/>
              </w:rPr>
              <w:t>1</w:t>
            </w:r>
            <w:r>
              <w:rPr>
                <w:rFonts w:ascii="宋体" w:hAnsi="宋体"/>
                <w:szCs w:val="24"/>
                <w:highlight w:val="none"/>
                <w:u w:val="double"/>
              </w:rPr>
              <w:t xml:space="preserve"> </w:t>
            </w:r>
            <w:r>
              <w:rPr>
                <w:rFonts w:hint="eastAsia" w:ascii="宋体" w:hAnsi="宋体"/>
                <w:szCs w:val="24"/>
                <w:highlight w:val="none"/>
                <w:u w:val="double"/>
              </w:rPr>
              <w:t>分，具有高级职称的加</w:t>
            </w:r>
            <w:r>
              <w:rPr>
                <w:rFonts w:ascii="宋体" w:hAnsi="宋体"/>
                <w:szCs w:val="24"/>
                <w:highlight w:val="none"/>
                <w:u w:val="double"/>
              </w:rPr>
              <w:t xml:space="preserve"> </w:t>
            </w:r>
            <w:r>
              <w:rPr>
                <w:rFonts w:hint="eastAsia" w:ascii="宋体" w:hAnsi="宋体"/>
                <w:szCs w:val="24"/>
                <w:highlight w:val="none"/>
                <w:u w:val="double"/>
                <w:lang w:val="en-US" w:eastAsia="zh-CN"/>
              </w:rPr>
              <w:t>0.5</w:t>
            </w:r>
            <w:r>
              <w:rPr>
                <w:rFonts w:ascii="宋体" w:hAnsi="宋体"/>
                <w:szCs w:val="24"/>
                <w:highlight w:val="none"/>
                <w:u w:val="double"/>
              </w:rPr>
              <w:t xml:space="preserve"> </w:t>
            </w:r>
            <w:r>
              <w:rPr>
                <w:rFonts w:hint="eastAsia" w:ascii="宋体" w:hAnsi="宋体"/>
                <w:szCs w:val="24"/>
                <w:highlight w:val="none"/>
                <w:u w:val="double"/>
              </w:rPr>
              <w:t>分</w:t>
            </w:r>
            <w:r>
              <w:rPr>
                <w:rFonts w:hint="eastAsia" w:ascii="宋体" w:hAnsi="宋体"/>
                <w:szCs w:val="24"/>
                <w:highlight w:val="none"/>
                <w:u w:val="double"/>
                <w:lang w:eastAsia="zh-CN"/>
              </w:rPr>
              <w:t>，</w:t>
            </w:r>
          </w:p>
          <w:p>
            <w:pPr>
              <w:spacing w:line="360" w:lineRule="auto"/>
              <w:rPr>
                <w:rFonts w:ascii="宋体"/>
                <w:szCs w:val="24"/>
                <w:highlight w:val="none"/>
                <w:u w:val="double"/>
              </w:rPr>
            </w:pPr>
            <w:r>
              <w:rPr>
                <w:rFonts w:hint="eastAsia" w:ascii="宋体" w:hAnsi="宋体"/>
                <w:szCs w:val="24"/>
                <w:highlight w:val="none"/>
                <w:u w:val="double"/>
              </w:rPr>
              <w:t>本项最多得</w:t>
            </w:r>
            <w:r>
              <w:rPr>
                <w:rFonts w:ascii="宋体" w:hAnsi="宋体"/>
                <w:szCs w:val="24"/>
                <w:highlight w:val="none"/>
                <w:u w:val="double"/>
              </w:rPr>
              <w:t xml:space="preserve"> </w:t>
            </w:r>
            <w:r>
              <w:rPr>
                <w:rFonts w:hint="eastAsia" w:ascii="宋体" w:hAnsi="宋体"/>
                <w:szCs w:val="24"/>
                <w:highlight w:val="none"/>
                <w:u w:val="double"/>
                <w:lang w:val="en-US" w:eastAsia="zh-CN"/>
              </w:rPr>
              <w:t>2.5</w:t>
            </w:r>
            <w:r>
              <w:rPr>
                <w:rFonts w:ascii="宋体" w:hAnsi="宋体"/>
                <w:szCs w:val="24"/>
                <w:highlight w:val="none"/>
                <w:u w:val="double"/>
              </w:rPr>
              <w:t xml:space="preserve"> </w:t>
            </w:r>
            <w:r>
              <w:rPr>
                <w:rFonts w:hint="eastAsia" w:ascii="宋体" w:hAnsi="宋体"/>
                <w:szCs w:val="24"/>
                <w:highlight w:val="none"/>
                <w:u w:val="double"/>
              </w:rPr>
              <w:t>分。</w:t>
            </w:r>
          </w:p>
          <w:p>
            <w:pPr>
              <w:spacing w:line="360" w:lineRule="auto"/>
              <w:rPr>
                <w:rFonts w:ascii="宋体"/>
                <w:szCs w:val="24"/>
                <w:highlight w:val="none"/>
                <w:u w:val="double"/>
              </w:rPr>
            </w:pPr>
            <w:r>
              <w:rPr>
                <w:rFonts w:ascii="宋体" w:hAnsi="宋体"/>
                <w:szCs w:val="24"/>
                <w:highlight w:val="none"/>
                <w:u w:val="double"/>
              </w:rPr>
              <w:t>2</w:t>
            </w:r>
            <w:r>
              <w:rPr>
                <w:rFonts w:hint="eastAsia" w:ascii="宋体" w:hAnsi="宋体"/>
                <w:szCs w:val="24"/>
                <w:highlight w:val="none"/>
                <w:u w:val="double"/>
              </w:rPr>
              <w:t>、</w:t>
            </w:r>
            <w:r>
              <w:rPr>
                <w:rFonts w:hint="eastAsia" w:ascii="宋体" w:hAnsi="宋体"/>
                <w:szCs w:val="24"/>
                <w:highlight w:val="none"/>
                <w:u w:val="double"/>
                <w:lang w:val="en-US" w:eastAsia="zh-CN"/>
              </w:rPr>
              <w:t>机电安装</w:t>
            </w:r>
            <w:r>
              <w:rPr>
                <w:rFonts w:hint="eastAsia" w:ascii="宋体" w:hAnsi="宋体"/>
                <w:szCs w:val="24"/>
                <w:highlight w:val="none"/>
                <w:u w:val="double"/>
              </w:rPr>
              <w:t>监理：</w:t>
            </w:r>
          </w:p>
          <w:p>
            <w:pPr>
              <w:spacing w:line="360" w:lineRule="auto"/>
              <w:rPr>
                <w:rFonts w:hint="eastAsia" w:ascii="宋体" w:eastAsia="宋体"/>
                <w:szCs w:val="24"/>
                <w:highlight w:val="none"/>
                <w:u w:val="double"/>
                <w:lang w:eastAsia="zh-CN"/>
              </w:rPr>
            </w:pPr>
            <w:r>
              <w:rPr>
                <w:rFonts w:hint="eastAsia" w:ascii="宋体" w:hAnsi="宋体"/>
                <w:szCs w:val="24"/>
                <w:highlight w:val="none"/>
                <w:u w:val="double"/>
              </w:rPr>
              <w:t>具有全国注册监理工程师</w:t>
            </w:r>
            <w:r>
              <w:rPr>
                <w:rFonts w:hint="eastAsia" w:ascii="宋体" w:hAnsi="宋体"/>
                <w:szCs w:val="24"/>
                <w:highlight w:val="none"/>
                <w:u w:val="double"/>
                <w:lang w:eastAsia="zh-CN"/>
              </w:rPr>
              <w:t>（</w:t>
            </w:r>
            <w:r>
              <w:rPr>
                <w:rFonts w:hint="eastAsia" w:ascii="宋体" w:hAnsi="宋体"/>
                <w:szCs w:val="24"/>
                <w:highlight w:val="none"/>
                <w:u w:val="double"/>
                <w:lang w:val="en-US" w:eastAsia="zh-CN"/>
              </w:rPr>
              <w:t>机电安装工程专业</w:t>
            </w:r>
            <w:r>
              <w:rPr>
                <w:rFonts w:hint="eastAsia" w:ascii="宋体" w:hAnsi="宋体"/>
                <w:szCs w:val="24"/>
                <w:highlight w:val="none"/>
                <w:u w:val="double"/>
                <w:lang w:eastAsia="zh-CN"/>
              </w:rPr>
              <w:t>）</w:t>
            </w:r>
            <w:r>
              <w:rPr>
                <w:rFonts w:hint="eastAsia" w:ascii="宋体" w:hAnsi="宋体"/>
                <w:szCs w:val="24"/>
                <w:highlight w:val="none"/>
                <w:u w:val="double"/>
              </w:rPr>
              <w:t>得</w:t>
            </w:r>
            <w:r>
              <w:rPr>
                <w:rFonts w:hint="eastAsia" w:ascii="宋体" w:hAnsi="宋体"/>
                <w:szCs w:val="24"/>
                <w:highlight w:val="none"/>
                <w:u w:val="double"/>
                <w:lang w:val="en-US" w:eastAsia="zh-CN"/>
              </w:rPr>
              <w:t>1</w:t>
            </w:r>
            <w:r>
              <w:rPr>
                <w:rFonts w:hint="eastAsia" w:ascii="宋体" w:hAnsi="宋体"/>
                <w:szCs w:val="24"/>
                <w:highlight w:val="none"/>
                <w:u w:val="double"/>
              </w:rPr>
              <w:t>分，具有高级职称的加</w:t>
            </w:r>
            <w:r>
              <w:rPr>
                <w:rFonts w:ascii="宋体" w:hAnsi="宋体"/>
                <w:szCs w:val="24"/>
                <w:highlight w:val="none"/>
                <w:u w:val="double"/>
              </w:rPr>
              <w:t xml:space="preserve"> </w:t>
            </w:r>
            <w:r>
              <w:rPr>
                <w:rFonts w:hint="eastAsia" w:ascii="宋体" w:hAnsi="宋体"/>
                <w:szCs w:val="24"/>
                <w:highlight w:val="none"/>
                <w:u w:val="double"/>
                <w:lang w:val="en-US" w:eastAsia="zh-CN"/>
              </w:rPr>
              <w:t>0.5</w:t>
            </w:r>
            <w:r>
              <w:rPr>
                <w:rFonts w:ascii="宋体" w:hAnsi="宋体"/>
                <w:szCs w:val="24"/>
                <w:highlight w:val="none"/>
                <w:u w:val="double"/>
              </w:rPr>
              <w:t xml:space="preserve"> </w:t>
            </w:r>
            <w:r>
              <w:rPr>
                <w:rFonts w:hint="eastAsia" w:ascii="宋体" w:hAnsi="宋体"/>
                <w:szCs w:val="24"/>
                <w:highlight w:val="none"/>
                <w:u w:val="double"/>
              </w:rPr>
              <w:t>分</w:t>
            </w:r>
            <w:r>
              <w:rPr>
                <w:rFonts w:hint="eastAsia" w:ascii="宋体" w:hAnsi="宋体"/>
                <w:szCs w:val="24"/>
                <w:highlight w:val="none"/>
                <w:u w:val="double"/>
                <w:lang w:eastAsia="zh-CN"/>
              </w:rPr>
              <w:t>，</w:t>
            </w:r>
          </w:p>
          <w:p>
            <w:pPr>
              <w:spacing w:line="360" w:lineRule="auto"/>
              <w:rPr>
                <w:rFonts w:hint="eastAsia" w:ascii="宋体" w:eastAsia="宋体"/>
                <w:szCs w:val="24"/>
                <w:highlight w:val="none"/>
                <w:u w:val="double"/>
                <w:lang w:eastAsia="zh-CN"/>
              </w:rPr>
            </w:pPr>
            <w:r>
              <w:rPr>
                <w:rFonts w:hint="eastAsia" w:ascii="宋体" w:hAnsi="宋体"/>
                <w:szCs w:val="24"/>
                <w:highlight w:val="none"/>
                <w:u w:val="double"/>
              </w:rPr>
              <w:t>本项最多得</w:t>
            </w:r>
            <w:r>
              <w:rPr>
                <w:rFonts w:ascii="宋体" w:hAnsi="宋体"/>
                <w:szCs w:val="24"/>
                <w:highlight w:val="none"/>
                <w:u w:val="double"/>
              </w:rPr>
              <w:t xml:space="preserve"> </w:t>
            </w:r>
            <w:r>
              <w:rPr>
                <w:rFonts w:hint="eastAsia" w:ascii="宋体" w:hAnsi="宋体"/>
                <w:szCs w:val="24"/>
                <w:highlight w:val="none"/>
                <w:u w:val="double"/>
                <w:lang w:val="en-US" w:eastAsia="zh-CN"/>
              </w:rPr>
              <w:t>1.5</w:t>
            </w:r>
            <w:r>
              <w:rPr>
                <w:rFonts w:ascii="宋体" w:hAnsi="宋体"/>
                <w:szCs w:val="24"/>
                <w:highlight w:val="none"/>
                <w:u w:val="double"/>
              </w:rPr>
              <w:t xml:space="preserve"> </w:t>
            </w:r>
            <w:r>
              <w:rPr>
                <w:rFonts w:hint="eastAsia" w:ascii="宋体" w:hAnsi="宋体"/>
                <w:szCs w:val="24"/>
                <w:highlight w:val="none"/>
                <w:u w:val="double"/>
              </w:rPr>
              <w:t>分</w:t>
            </w:r>
            <w:r>
              <w:rPr>
                <w:rFonts w:hint="eastAsia" w:ascii="宋体" w:hAnsi="宋体"/>
                <w:szCs w:val="24"/>
                <w:highlight w:val="none"/>
                <w:u w:val="double"/>
                <w:lang w:eastAsia="zh-CN"/>
              </w:rPr>
              <w:t>。</w:t>
            </w:r>
          </w:p>
          <w:p>
            <w:pPr>
              <w:spacing w:line="360" w:lineRule="auto"/>
              <w:rPr>
                <w:rFonts w:ascii="宋体"/>
                <w:szCs w:val="24"/>
                <w:highlight w:val="none"/>
                <w:u w:val="double"/>
              </w:rPr>
            </w:pPr>
            <w:r>
              <w:rPr>
                <w:rFonts w:ascii="宋体" w:hAnsi="宋体"/>
                <w:szCs w:val="24"/>
                <w:highlight w:val="none"/>
                <w:u w:val="double"/>
              </w:rPr>
              <w:t>3</w:t>
            </w:r>
            <w:r>
              <w:rPr>
                <w:rFonts w:hint="eastAsia" w:ascii="宋体" w:hAnsi="宋体"/>
                <w:szCs w:val="24"/>
                <w:highlight w:val="none"/>
                <w:u w:val="double"/>
              </w:rPr>
              <w:t>、安全</w:t>
            </w:r>
            <w:r>
              <w:rPr>
                <w:rFonts w:hint="eastAsia" w:ascii="宋体" w:hAnsi="宋体"/>
                <w:szCs w:val="24"/>
                <w:highlight w:val="none"/>
                <w:u w:val="double"/>
                <w:lang w:val="en-US" w:eastAsia="zh-CN"/>
              </w:rPr>
              <w:t>工程师</w:t>
            </w:r>
            <w:r>
              <w:rPr>
                <w:rFonts w:hint="eastAsia" w:ascii="宋体" w:hAnsi="宋体"/>
                <w:szCs w:val="24"/>
                <w:highlight w:val="none"/>
                <w:u w:val="double"/>
              </w:rPr>
              <w:t>：</w:t>
            </w:r>
          </w:p>
          <w:p>
            <w:pPr>
              <w:spacing w:line="360" w:lineRule="auto"/>
              <w:rPr>
                <w:rFonts w:ascii="宋体"/>
                <w:szCs w:val="24"/>
                <w:highlight w:val="none"/>
                <w:u w:val="double"/>
              </w:rPr>
            </w:pPr>
            <w:r>
              <w:rPr>
                <w:rFonts w:hint="eastAsia" w:ascii="宋体" w:hAnsi="宋体"/>
                <w:szCs w:val="24"/>
                <w:highlight w:val="none"/>
                <w:u w:val="double"/>
              </w:rPr>
              <w:t>具有全国注册安全工程师</w:t>
            </w:r>
            <w:r>
              <w:rPr>
                <w:rFonts w:hint="eastAsia" w:ascii="宋体" w:hAnsi="宋体"/>
                <w:szCs w:val="24"/>
                <w:highlight w:val="none"/>
                <w:u w:val="double"/>
                <w:lang w:val="en-US" w:eastAsia="zh-CN"/>
              </w:rPr>
              <w:t>或</w:t>
            </w:r>
            <w:r>
              <w:rPr>
                <w:rFonts w:hint="eastAsia" w:ascii="宋体" w:hAnsi="宋体"/>
                <w:szCs w:val="24"/>
                <w:highlight w:val="none"/>
                <w:u w:val="double"/>
              </w:rPr>
              <w:t>具有全国注册监理工程师</w:t>
            </w:r>
            <w:r>
              <w:rPr>
                <w:rFonts w:hint="eastAsia" w:ascii="宋体" w:hAnsi="宋体"/>
                <w:szCs w:val="24"/>
                <w:highlight w:val="none"/>
                <w:u w:val="double"/>
                <w:lang w:val="en-US" w:eastAsia="zh-CN"/>
              </w:rPr>
              <w:t>得 1</w:t>
            </w:r>
            <w:r>
              <w:rPr>
                <w:rFonts w:ascii="宋体" w:hAnsi="宋体"/>
                <w:szCs w:val="24"/>
                <w:highlight w:val="none"/>
                <w:u w:val="double"/>
              </w:rPr>
              <w:t xml:space="preserve"> </w:t>
            </w:r>
            <w:r>
              <w:rPr>
                <w:rFonts w:hint="eastAsia" w:ascii="宋体" w:hAnsi="宋体"/>
                <w:szCs w:val="24"/>
                <w:highlight w:val="none"/>
                <w:u w:val="double"/>
              </w:rPr>
              <w:t>分。</w:t>
            </w:r>
          </w:p>
          <w:p>
            <w:pPr>
              <w:spacing w:line="360" w:lineRule="auto"/>
              <w:rPr>
                <w:rFonts w:ascii="宋体"/>
                <w:szCs w:val="24"/>
                <w:highlight w:val="none"/>
                <w:u w:val="double"/>
              </w:rPr>
            </w:pPr>
            <w:r>
              <w:rPr>
                <w:rFonts w:hint="eastAsia" w:ascii="宋体" w:hAnsi="宋体"/>
                <w:szCs w:val="24"/>
                <w:highlight w:val="none"/>
                <w:u w:val="double"/>
              </w:rPr>
              <w:t>具有高级职称的加</w:t>
            </w:r>
            <w:r>
              <w:rPr>
                <w:rFonts w:ascii="宋体" w:hAnsi="宋体"/>
                <w:szCs w:val="24"/>
                <w:highlight w:val="none"/>
                <w:u w:val="double"/>
              </w:rPr>
              <w:t xml:space="preserve"> </w:t>
            </w:r>
            <w:r>
              <w:rPr>
                <w:rFonts w:hint="eastAsia" w:ascii="宋体" w:hAnsi="宋体"/>
                <w:szCs w:val="24"/>
                <w:highlight w:val="none"/>
                <w:u w:val="double"/>
                <w:lang w:val="en-US" w:eastAsia="zh-CN"/>
              </w:rPr>
              <w:t>0.5</w:t>
            </w:r>
            <w:r>
              <w:rPr>
                <w:rFonts w:ascii="宋体" w:hAnsi="宋体"/>
                <w:szCs w:val="24"/>
                <w:highlight w:val="none"/>
                <w:u w:val="double"/>
              </w:rPr>
              <w:t xml:space="preserve"> </w:t>
            </w:r>
            <w:r>
              <w:rPr>
                <w:rFonts w:hint="eastAsia" w:ascii="宋体" w:hAnsi="宋体"/>
                <w:szCs w:val="24"/>
                <w:highlight w:val="none"/>
                <w:u w:val="double"/>
              </w:rPr>
              <w:t>分，</w:t>
            </w:r>
          </w:p>
          <w:p>
            <w:pPr>
              <w:spacing w:line="360" w:lineRule="auto"/>
              <w:rPr>
                <w:rFonts w:hint="eastAsia" w:ascii="宋体" w:eastAsia="宋体"/>
                <w:szCs w:val="24"/>
                <w:highlight w:val="none"/>
                <w:u w:val="double"/>
                <w:lang w:val="en-US" w:eastAsia="zh-CN"/>
              </w:rPr>
            </w:pPr>
            <w:r>
              <w:rPr>
                <w:rFonts w:hint="eastAsia" w:ascii="宋体" w:hAnsi="宋体"/>
                <w:szCs w:val="24"/>
                <w:highlight w:val="none"/>
                <w:u w:val="double"/>
              </w:rPr>
              <w:t>本项最多得</w:t>
            </w:r>
            <w:r>
              <w:rPr>
                <w:rFonts w:ascii="宋体" w:hAnsi="宋体"/>
                <w:szCs w:val="24"/>
                <w:highlight w:val="none"/>
                <w:u w:val="double"/>
              </w:rPr>
              <w:t xml:space="preserve"> </w:t>
            </w:r>
            <w:r>
              <w:rPr>
                <w:rFonts w:hint="eastAsia" w:ascii="宋体" w:hAnsi="宋体"/>
                <w:szCs w:val="24"/>
                <w:highlight w:val="none"/>
                <w:u w:val="double"/>
                <w:lang w:val="en-US" w:eastAsia="zh-CN"/>
              </w:rPr>
              <w:t>1.5</w:t>
            </w:r>
            <w:r>
              <w:rPr>
                <w:rFonts w:ascii="宋体" w:hAnsi="宋体"/>
                <w:szCs w:val="24"/>
                <w:highlight w:val="none"/>
                <w:u w:val="double"/>
              </w:rPr>
              <w:t xml:space="preserve"> </w:t>
            </w:r>
            <w:r>
              <w:rPr>
                <w:rFonts w:hint="eastAsia" w:ascii="宋体" w:hAnsi="宋体"/>
                <w:szCs w:val="24"/>
                <w:highlight w:val="none"/>
                <w:u w:val="double"/>
              </w:rPr>
              <w:t>分</w:t>
            </w:r>
            <w:r>
              <w:rPr>
                <w:rFonts w:hint="eastAsia" w:ascii="宋体" w:hAnsi="宋体"/>
                <w:szCs w:val="24"/>
                <w:highlight w:val="none"/>
                <w:u w:val="double"/>
                <w:lang w:eastAsia="zh-CN"/>
              </w:rPr>
              <w:t>。</w:t>
            </w:r>
          </w:p>
          <w:p>
            <w:pPr>
              <w:spacing w:line="360" w:lineRule="auto"/>
              <w:rPr>
                <w:rFonts w:hint="default" w:ascii="宋体" w:hAnsi="宋体" w:eastAsia="宋体"/>
                <w:szCs w:val="24"/>
                <w:highlight w:val="none"/>
                <w:u w:val="double"/>
                <w:lang w:val="en-US" w:eastAsia="zh-CN"/>
              </w:rPr>
            </w:pPr>
            <w:r>
              <w:rPr>
                <w:rFonts w:ascii="宋体" w:hAnsi="宋体"/>
                <w:szCs w:val="24"/>
                <w:highlight w:val="none"/>
                <w:u w:val="double"/>
              </w:rPr>
              <w:t>4</w:t>
            </w:r>
            <w:r>
              <w:rPr>
                <w:rFonts w:hint="eastAsia" w:ascii="宋体" w:hAnsi="宋体"/>
                <w:szCs w:val="24"/>
                <w:highlight w:val="none"/>
                <w:u w:val="double"/>
              </w:rPr>
              <w:t>、</w:t>
            </w:r>
            <w:r>
              <w:rPr>
                <w:rFonts w:hint="eastAsia" w:ascii="宋体" w:hAnsi="宋体"/>
                <w:szCs w:val="24"/>
                <w:highlight w:val="none"/>
                <w:u w:val="double"/>
                <w:lang w:val="en-US" w:eastAsia="zh-CN"/>
              </w:rPr>
              <w:t>监理员：</w:t>
            </w:r>
          </w:p>
          <w:p>
            <w:pPr>
              <w:spacing w:line="360" w:lineRule="auto"/>
              <w:rPr>
                <w:rFonts w:ascii="宋体"/>
                <w:szCs w:val="24"/>
                <w:highlight w:val="none"/>
                <w:u w:val="double"/>
              </w:rPr>
            </w:pPr>
            <w:r>
              <w:rPr>
                <w:rFonts w:hint="eastAsia" w:ascii="宋体" w:hAnsi="宋体"/>
                <w:szCs w:val="24"/>
                <w:highlight w:val="none"/>
                <w:u w:val="double"/>
              </w:rPr>
              <w:t>具有</w:t>
            </w:r>
            <w:r>
              <w:rPr>
                <w:rFonts w:hint="eastAsia" w:ascii="宋体" w:hAnsi="宋体"/>
                <w:szCs w:val="24"/>
                <w:highlight w:val="none"/>
                <w:u w:val="double"/>
                <w:lang w:val="en-US" w:eastAsia="zh-CN"/>
              </w:rPr>
              <w:t>监理员证书</w:t>
            </w:r>
            <w:r>
              <w:rPr>
                <w:rFonts w:hint="eastAsia" w:ascii="宋体" w:hAnsi="宋体"/>
                <w:szCs w:val="24"/>
                <w:highlight w:val="none"/>
                <w:u w:val="double"/>
              </w:rPr>
              <w:t>得</w:t>
            </w:r>
            <w:r>
              <w:rPr>
                <w:rFonts w:ascii="宋体" w:hAnsi="宋体"/>
                <w:szCs w:val="24"/>
                <w:highlight w:val="none"/>
                <w:u w:val="double"/>
              </w:rPr>
              <w:t xml:space="preserve"> </w:t>
            </w:r>
            <w:r>
              <w:rPr>
                <w:rFonts w:hint="eastAsia" w:ascii="宋体" w:hAnsi="宋体"/>
                <w:szCs w:val="24"/>
                <w:highlight w:val="none"/>
                <w:u w:val="double"/>
                <w:lang w:val="en-US" w:eastAsia="zh-CN"/>
              </w:rPr>
              <w:t>1</w:t>
            </w:r>
            <w:r>
              <w:rPr>
                <w:rFonts w:ascii="宋体" w:hAnsi="宋体"/>
                <w:szCs w:val="24"/>
                <w:highlight w:val="none"/>
                <w:u w:val="double"/>
              </w:rPr>
              <w:t xml:space="preserve"> </w:t>
            </w:r>
            <w:r>
              <w:rPr>
                <w:rFonts w:hint="eastAsia" w:ascii="宋体" w:hAnsi="宋体"/>
                <w:szCs w:val="24"/>
                <w:highlight w:val="none"/>
                <w:u w:val="double"/>
              </w:rPr>
              <w:t>分</w:t>
            </w:r>
            <w:r>
              <w:rPr>
                <w:rFonts w:hint="eastAsia" w:ascii="宋体" w:hAnsi="宋体"/>
                <w:szCs w:val="24"/>
                <w:highlight w:val="none"/>
                <w:u w:val="double"/>
                <w:lang w:eastAsia="zh-CN"/>
              </w:rPr>
              <w:t>，</w:t>
            </w:r>
            <w:r>
              <w:rPr>
                <w:rFonts w:hint="eastAsia" w:ascii="宋体" w:hAnsi="宋体"/>
                <w:szCs w:val="24"/>
                <w:highlight w:val="none"/>
                <w:u w:val="double"/>
                <w:lang w:val="en-US" w:eastAsia="zh-CN"/>
              </w:rPr>
              <w:t>增加1名监理员得0.5分</w:t>
            </w:r>
            <w:r>
              <w:rPr>
                <w:rFonts w:hint="eastAsia" w:ascii="宋体" w:hAnsi="宋体"/>
                <w:szCs w:val="24"/>
                <w:highlight w:val="none"/>
                <w:u w:val="double"/>
              </w:rPr>
              <w:t>。</w:t>
            </w:r>
          </w:p>
          <w:p>
            <w:pPr>
              <w:spacing w:line="360" w:lineRule="auto"/>
              <w:rPr>
                <w:rFonts w:hint="eastAsia" w:ascii="宋体"/>
                <w:kern w:val="2"/>
                <w:sz w:val="21"/>
                <w:szCs w:val="24"/>
                <w:highlight w:val="none"/>
                <w:lang w:val="en-US" w:eastAsia="zh-CN" w:bidi="ar-SA"/>
              </w:rPr>
            </w:pPr>
            <w:r>
              <w:rPr>
                <w:rFonts w:hint="eastAsia" w:ascii="宋体" w:hAnsi="宋体"/>
                <w:szCs w:val="24"/>
                <w:highlight w:val="none"/>
                <w:u w:val="double"/>
              </w:rPr>
              <w:t>本项最多得</w:t>
            </w:r>
            <w:r>
              <w:rPr>
                <w:rFonts w:ascii="宋体" w:hAnsi="宋体"/>
                <w:szCs w:val="24"/>
                <w:highlight w:val="none"/>
                <w:u w:val="double"/>
              </w:rPr>
              <w:t xml:space="preserve"> </w:t>
            </w:r>
            <w:r>
              <w:rPr>
                <w:rFonts w:hint="eastAsia" w:ascii="宋体" w:hAnsi="宋体"/>
                <w:szCs w:val="24"/>
                <w:highlight w:val="none"/>
                <w:u w:val="double"/>
                <w:lang w:val="en-US" w:eastAsia="zh-CN"/>
              </w:rPr>
              <w:t>1.5</w:t>
            </w:r>
            <w:r>
              <w:rPr>
                <w:rFonts w:ascii="宋体" w:hAnsi="宋体"/>
                <w:szCs w:val="24"/>
                <w:highlight w:val="none"/>
                <w:u w:val="double"/>
              </w:rPr>
              <w:t xml:space="preserve"> </w:t>
            </w:r>
            <w:r>
              <w:rPr>
                <w:rFonts w:hint="eastAsia" w:ascii="宋体" w:hAnsi="宋体"/>
                <w:szCs w:val="24"/>
                <w:highlight w:val="none"/>
                <w:u w:val="doub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39" w:type="pct"/>
            <w:noWrap w:val="0"/>
            <w:vAlign w:val="center"/>
          </w:tcPr>
          <w:p>
            <w:pPr>
              <w:spacing w:line="360" w:lineRule="auto"/>
              <w:jc w:val="center"/>
              <w:rPr>
                <w:rFonts w:ascii="宋体"/>
                <w:szCs w:val="21"/>
                <w:highlight w:val="none"/>
              </w:rPr>
            </w:pPr>
            <w:r>
              <w:rPr>
                <w:rFonts w:ascii="宋体" w:hAnsi="宋体"/>
                <w:szCs w:val="21"/>
                <w:highlight w:val="none"/>
              </w:rPr>
              <w:t>2.2.1</w:t>
            </w:r>
          </w:p>
          <w:p>
            <w:pPr>
              <w:spacing w:line="360" w:lineRule="auto"/>
              <w:jc w:val="center"/>
              <w:rPr>
                <w:rFonts w:ascii="宋体"/>
                <w:sz w:val="18"/>
                <w:szCs w:val="24"/>
                <w:highlight w:val="none"/>
              </w:rPr>
            </w:pPr>
            <w:r>
              <w:rPr>
                <w:rFonts w:ascii="宋体" w:hAnsi="宋体"/>
                <w:szCs w:val="21"/>
                <w:highlight w:val="none"/>
              </w:rPr>
              <w:t>(3)</w:t>
            </w:r>
          </w:p>
        </w:tc>
        <w:tc>
          <w:tcPr>
            <w:tcW w:w="2138" w:type="pct"/>
            <w:gridSpan w:val="3"/>
            <w:tcBorders>
              <w:right w:val="single" w:color="auto" w:sz="4" w:space="0"/>
            </w:tcBorders>
            <w:noWrap w:val="0"/>
            <w:vAlign w:val="center"/>
          </w:tcPr>
          <w:p>
            <w:pPr>
              <w:spacing w:line="360" w:lineRule="auto"/>
              <w:jc w:val="center"/>
              <w:rPr>
                <w:rFonts w:ascii="宋体" w:hAnsi="宋体"/>
                <w:szCs w:val="24"/>
                <w:highlight w:val="none"/>
                <w:u w:val="single"/>
              </w:rPr>
            </w:pPr>
            <w:r>
              <w:rPr>
                <w:rFonts w:hint="eastAsia" w:ascii="宋体" w:hAnsi="宋体"/>
                <w:szCs w:val="24"/>
                <w:highlight w:val="none"/>
                <w:u w:val="double"/>
              </w:rPr>
              <w:t>投标报价（</w:t>
            </w:r>
            <w:r>
              <w:rPr>
                <w:rFonts w:hint="eastAsia" w:ascii="宋体" w:hAnsi="宋体"/>
                <w:szCs w:val="24"/>
                <w:highlight w:val="none"/>
                <w:u w:val="double"/>
                <w:lang w:val="en-US" w:eastAsia="zh-CN"/>
              </w:rPr>
              <w:t>50</w:t>
            </w:r>
            <w:r>
              <w:rPr>
                <w:rFonts w:hint="eastAsia" w:ascii="宋体" w:hAnsi="宋体"/>
                <w:szCs w:val="24"/>
                <w:highlight w:val="none"/>
                <w:u w:val="double"/>
              </w:rPr>
              <w:t>分）</w:t>
            </w:r>
          </w:p>
        </w:tc>
        <w:tc>
          <w:tcPr>
            <w:tcW w:w="2421" w:type="pc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Cs w:val="21"/>
                <w:highlight w:val="none"/>
                <w:u w:val="double"/>
              </w:rPr>
            </w:pPr>
            <w:r>
              <w:rPr>
                <w:rFonts w:hint="eastAsia" w:ascii="宋体" w:hAnsi="宋体" w:cs="宋体"/>
                <w:szCs w:val="21"/>
                <w:highlight w:val="none"/>
                <w:u w:val="double"/>
              </w:rPr>
              <w:t>通过评审的有效报价，最低评标价作为评标基准价，得满分50分。</w:t>
            </w:r>
          </w:p>
          <w:p>
            <w:pPr>
              <w:jc w:val="left"/>
              <w:rPr>
                <w:rFonts w:ascii="宋体" w:hAnsi="宋体" w:cs="宋体"/>
                <w:szCs w:val="21"/>
                <w:highlight w:val="none"/>
                <w:u w:val="double"/>
              </w:rPr>
            </w:pPr>
            <w:r>
              <w:rPr>
                <w:rFonts w:hint="eastAsia" w:ascii="宋体" w:hAnsi="宋体" w:cs="宋体"/>
                <w:szCs w:val="21"/>
                <w:highlight w:val="none"/>
                <w:u w:val="double"/>
              </w:rPr>
              <w:t>偏差率=（评标价-最低评标价）/最低评标价×100%</w:t>
            </w:r>
          </w:p>
          <w:p>
            <w:pPr>
              <w:jc w:val="left"/>
              <w:rPr>
                <w:rFonts w:ascii="宋体" w:hAnsi="宋体" w:cs="宋体"/>
                <w:szCs w:val="21"/>
                <w:highlight w:val="none"/>
                <w:u w:val="double"/>
              </w:rPr>
            </w:pPr>
            <w:r>
              <w:rPr>
                <w:rFonts w:hint="eastAsia" w:ascii="宋体" w:hAnsi="宋体" w:cs="宋体"/>
                <w:szCs w:val="21"/>
                <w:highlight w:val="none"/>
                <w:u w:val="double"/>
              </w:rPr>
              <w:t>评标价得分=50-偏差率×100×1</w:t>
            </w:r>
          </w:p>
          <w:p>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szCs w:val="24"/>
                <w:highlight w:val="none"/>
              </w:rPr>
            </w:pPr>
            <w:r>
              <w:rPr>
                <w:rFonts w:hint="eastAsia" w:ascii="宋体" w:hAnsi="宋体" w:cs="宋体"/>
                <w:szCs w:val="21"/>
                <w:highlight w:val="none"/>
                <w:u w:val="double"/>
              </w:rPr>
              <w:t>评标价：每个标段经招标人评审后各投标人的有效投标报价。</w:t>
            </w:r>
          </w:p>
        </w:tc>
      </w:tr>
    </w:tbl>
    <w:p>
      <w:pPr>
        <w:pStyle w:val="2"/>
        <w:numPr>
          <w:ilvl w:val="0"/>
          <w:numId w:val="0"/>
        </w:numPr>
        <w:rPr>
          <w:rFonts w:hint="eastAsia"/>
          <w:highlight w:val="none"/>
          <w:lang w:val="en-US" w:eastAsia="zh-CN"/>
        </w:rPr>
      </w:pPr>
    </w:p>
    <w:p>
      <w:pPr>
        <w:pStyle w:val="11"/>
        <w:keepNext w:val="0"/>
        <w:keepLines w:val="0"/>
        <w:pageBreakBefore w:val="0"/>
        <w:numPr>
          <w:ilvl w:val="0"/>
          <w:numId w:val="1"/>
        </w:numPr>
        <w:tabs>
          <w:tab w:val="right" w:leader="dot" w:pos="8306"/>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原</w:t>
      </w:r>
      <w:r>
        <w:rPr>
          <w:rFonts w:hint="eastAsia" w:ascii="宋体" w:hAnsi="宋体" w:cs="宋体"/>
          <w:b/>
          <w:bCs/>
          <w:sz w:val="24"/>
          <w:szCs w:val="24"/>
          <w:highlight w:val="none"/>
          <w:lang w:val="en-US" w:eastAsia="zh-CN"/>
        </w:rPr>
        <w:t>招标文件</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合同条款及格式</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一、工程概况 3.工程规模：</w:t>
      </w:r>
      <w:r>
        <w:rPr>
          <w:rFonts w:hint="eastAsia" w:ascii="宋体" w:hAnsi="宋体" w:cs="宋体"/>
          <w:b/>
          <w:bCs/>
          <w:sz w:val="24"/>
          <w:szCs w:val="24"/>
          <w:highlight w:val="none"/>
          <w:u w:val="single"/>
          <w:lang w:val="en-US" w:eastAsia="zh-CN"/>
        </w:rPr>
        <w:t>504亩</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变更</w:t>
      </w:r>
      <w:r>
        <w:rPr>
          <w:rFonts w:hint="eastAsia" w:ascii="宋体" w:hAnsi="宋体" w:eastAsia="宋体" w:cs="宋体"/>
          <w:b/>
          <w:bCs/>
          <w:sz w:val="24"/>
          <w:szCs w:val="24"/>
          <w:highlight w:val="none"/>
          <w:lang w:eastAsia="zh-CN"/>
        </w:rPr>
        <w:t>为：</w:t>
      </w:r>
    </w:p>
    <w:p>
      <w:pPr>
        <w:pStyle w:val="11"/>
        <w:keepNext w:val="0"/>
        <w:keepLines w:val="0"/>
        <w:pageBreakBefore w:val="0"/>
        <w:numPr>
          <w:ilvl w:val="0"/>
          <w:numId w:val="0"/>
        </w:numPr>
        <w:tabs>
          <w:tab w:val="right" w:leader="dot" w:pos="8306"/>
        </w:tabs>
        <w:kinsoku/>
        <w:wordWrap/>
        <w:overflowPunct/>
        <w:topLinePunct w:val="0"/>
        <w:autoSpaceDE/>
        <w:autoSpaceDN/>
        <w:bidi w:val="0"/>
        <w:adjustRightInd/>
        <w:snapToGrid/>
        <w:spacing w:line="360" w:lineRule="auto"/>
        <w:ind w:leftChars="200"/>
        <w:jc w:val="both"/>
        <w:textAlignment w:val="auto"/>
        <w:rPr>
          <w:rFonts w:hint="eastAsia" w:ascii="宋体" w:hAnsi="宋体" w:cs="宋体"/>
          <w:b w:val="0"/>
          <w:bCs w:val="0"/>
          <w:sz w:val="24"/>
          <w:szCs w:val="24"/>
          <w:highlight w:val="none"/>
          <w:u w:val="single"/>
          <w:lang w:val="en-US" w:eastAsia="zh-CN"/>
        </w:rPr>
      </w:pPr>
      <w:r>
        <w:rPr>
          <w:rFonts w:hint="eastAsia" w:ascii="宋体" w:hAnsi="宋体" w:cs="宋体"/>
          <w:b w:val="0"/>
          <w:bCs w:val="0"/>
          <w:sz w:val="24"/>
          <w:szCs w:val="24"/>
          <w:highlight w:val="none"/>
          <w:lang w:val="en-US" w:eastAsia="zh-CN"/>
        </w:rPr>
        <w:t>3.工程规模：</w:t>
      </w:r>
      <w:r>
        <w:rPr>
          <w:rFonts w:hint="eastAsia" w:ascii="宋体" w:hAnsi="宋体" w:cs="宋体"/>
          <w:b w:val="0"/>
          <w:bCs w:val="0"/>
          <w:sz w:val="24"/>
          <w:szCs w:val="24"/>
          <w:highlight w:val="none"/>
          <w:u w:val="single"/>
          <w:lang w:val="en-US" w:eastAsia="zh-CN"/>
        </w:rPr>
        <w:t>690亩</w:t>
      </w:r>
    </w:p>
    <w:p>
      <w:pPr>
        <w:pStyle w:val="2"/>
        <w:ind w:left="0" w:leftChars="0" w:firstLine="0" w:firstLineChars="0"/>
        <w:rPr>
          <w:rFonts w:hint="eastAsia"/>
          <w:highlight w:val="none"/>
        </w:rPr>
      </w:pPr>
    </w:p>
    <w:p>
      <w:pPr>
        <w:rPr>
          <w:rFonts w:hint="eastAsia"/>
          <w:highlight w:val="none"/>
        </w:rPr>
      </w:pPr>
    </w:p>
    <w:p>
      <w:pPr>
        <w:pStyle w:val="2"/>
        <w:ind w:left="0" w:leftChars="0" w:firstLine="0" w:firstLineChars="0"/>
        <w:rPr>
          <w:rFonts w:hint="eastAsia"/>
          <w:highlight w:val="none"/>
        </w:rPr>
      </w:pPr>
    </w:p>
    <w:p>
      <w:pPr>
        <w:spacing w:line="360" w:lineRule="auto"/>
        <w:jc w:val="both"/>
        <w:rPr>
          <w:rFonts w:hint="eastAsia" w:ascii="宋体" w:hAnsi="宋体" w:cs="宋体"/>
          <w:kern w:val="0"/>
          <w:sz w:val="24"/>
          <w:szCs w:val="24"/>
          <w:highlight w:val="none"/>
        </w:rPr>
      </w:pPr>
    </w:p>
    <w:p>
      <w:pPr>
        <w:spacing w:line="360" w:lineRule="auto"/>
        <w:ind w:left="0" w:leftChars="0" w:firstLine="3578" w:firstLineChars="1491"/>
        <w:jc w:val="center"/>
        <w:rPr>
          <w:rFonts w:hint="eastAsia" w:ascii="宋体" w:hAnsi="宋体" w:cs="宋体"/>
          <w:highlight w:val="none"/>
        </w:rPr>
      </w:pPr>
      <w:r>
        <w:rPr>
          <w:rFonts w:hint="eastAsia" w:ascii="宋体" w:hAnsi="宋体" w:cs="宋体"/>
          <w:kern w:val="0"/>
          <w:sz w:val="24"/>
          <w:szCs w:val="24"/>
          <w:highlight w:val="none"/>
        </w:rPr>
        <w:t>招 标 人：四川省交通建设集团股份有限公司</w:t>
      </w:r>
    </w:p>
    <w:p>
      <w:pPr>
        <w:ind w:left="0" w:leftChars="0" w:firstLine="3578" w:firstLineChars="1491"/>
        <w:jc w:val="center"/>
        <w:rPr>
          <w:rFonts w:hint="eastAsia"/>
          <w:highlight w:val="none"/>
        </w:rPr>
      </w:pPr>
      <w:r>
        <w:rPr>
          <w:rFonts w:hint="eastAsia" w:ascii="宋体" w:hAnsi="宋体" w:cs="宋体"/>
          <w:sz w:val="24"/>
          <w:highlight w:val="none"/>
          <w:u w:val="single"/>
        </w:rPr>
        <w:t>202</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24</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
        <w:numPr>
          <w:ilvl w:val="0"/>
          <w:numId w:val="0"/>
        </w:numPr>
        <w:rPr>
          <w:rFonts w:hint="eastAsia" w:ascii="宋体" w:hAnsi="宋体" w:cs="宋体"/>
          <w:b/>
          <w:bCs/>
          <w:sz w:val="24"/>
          <w:szCs w:val="24"/>
          <w:highlight w:val="none"/>
          <w:lang w:eastAsia="zh-CN"/>
        </w:rPr>
      </w:pPr>
    </w:p>
    <w:p>
      <w:pPr>
        <w:pStyle w:val="2"/>
        <w:ind w:left="0" w:leftChars="0" w:firstLine="0" w:firstLineChars="0"/>
        <w:rPr>
          <w:rFonts w:hint="eastAsia"/>
          <w:highlight w:val="none"/>
          <w:lang w:eastAsia="zh-CN"/>
        </w:rPr>
      </w:pPr>
    </w:p>
    <w:p>
      <w:pPr>
        <w:rPr>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CB39"/>
    <w:multiLevelType w:val="singleLevel"/>
    <w:tmpl w:val="B1CACB39"/>
    <w:lvl w:ilvl="0" w:tentative="0">
      <w:start w:val="1"/>
      <w:numFmt w:val="decimal"/>
      <w:suff w:val="nothing"/>
      <w:lvlText w:val="%1、"/>
      <w:lvlJc w:val="left"/>
    </w:lvl>
  </w:abstractNum>
  <w:abstractNum w:abstractNumId="1">
    <w:nsid w:val="24C56CD0"/>
    <w:multiLevelType w:val="singleLevel"/>
    <w:tmpl w:val="24C56CD0"/>
    <w:lvl w:ilvl="0" w:tentative="0">
      <w:start w:val="1"/>
      <w:numFmt w:val="decimal"/>
      <w:suff w:val="nothing"/>
      <w:lvlText w:val="%1、"/>
      <w:lvlJc w:val="left"/>
    </w:lvl>
  </w:abstractNum>
  <w:abstractNum w:abstractNumId="2">
    <w:nsid w:val="56E25DD9"/>
    <w:multiLevelType w:val="singleLevel"/>
    <w:tmpl w:val="56E25DD9"/>
    <w:lvl w:ilvl="0" w:tentative="0">
      <w:start w:val="1"/>
      <w:numFmt w:val="decimal"/>
      <w:suff w:val="nothing"/>
      <w:lvlText w:val="%1、"/>
      <w:lvlJc w:val="left"/>
    </w:lvl>
  </w:abstractNum>
  <w:abstractNum w:abstractNumId="3">
    <w:nsid w:val="71742DEE"/>
    <w:multiLevelType w:val="singleLevel"/>
    <w:tmpl w:val="71742DEE"/>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47488"/>
    <w:rsid w:val="084F2744"/>
    <w:rsid w:val="0A51029C"/>
    <w:rsid w:val="0DF47488"/>
    <w:rsid w:val="10A01648"/>
    <w:rsid w:val="23B07603"/>
    <w:rsid w:val="25C02440"/>
    <w:rsid w:val="2A0B598A"/>
    <w:rsid w:val="35A523A4"/>
    <w:rsid w:val="439C3086"/>
    <w:rsid w:val="4A744ADC"/>
    <w:rsid w:val="4E030E09"/>
    <w:rsid w:val="548473BC"/>
    <w:rsid w:val="5F3B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Normal Indent"/>
    <w:basedOn w:val="1"/>
    <w:qFormat/>
    <w:uiPriority w:val="0"/>
    <w:pPr>
      <w:ind w:firstLine="420"/>
    </w:pPr>
    <w:rPr>
      <w:kern w:val="2"/>
      <w:sz w:val="21"/>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qFormat/>
    <w:uiPriority w:val="0"/>
    <w:rPr>
      <w:rFonts w:cs="Times New Roman"/>
      <w:b/>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Table Paragraph"/>
    <w:basedOn w:val="1"/>
    <w:qFormat/>
    <w:uiPriority w:val="1"/>
    <w:rPr>
      <w:rFonts w:ascii="宋体" w:hAnsi="宋体" w:cs="宋体"/>
      <w:lang w:val="zh-CN" w:bidi="zh-CN"/>
    </w:rPr>
  </w:style>
  <w:style w:type="character" w:customStyle="1" w:styleId="13">
    <w:name w:val="font71"/>
    <w:basedOn w:val="9"/>
    <w:qFormat/>
    <w:uiPriority w:val="0"/>
    <w:rPr>
      <w:rFonts w:hint="eastAsia" w:ascii="宋体" w:hAnsi="宋体" w:eastAsia="宋体" w:cs="宋体"/>
      <w:b/>
      <w:color w:val="000000"/>
      <w:sz w:val="32"/>
      <w:szCs w:val="32"/>
      <w:u w:val="none"/>
    </w:rPr>
  </w:style>
  <w:style w:type="paragraph" w:customStyle="1" w:styleId="14">
    <w:name w:val="p0"/>
    <w:basedOn w:val="1"/>
    <w:qFormat/>
    <w:uiPriority w:val="99"/>
    <w:pPr>
      <w:widowControl/>
      <w:jc w:val="left"/>
    </w:pPr>
    <w:rPr>
      <w:rFonts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2021-10-07T01:14:00Z</dcterms:created>
  <dc:creator>热心网友</dc:creator>
  <cp:lastModifiedBy>Sensual</cp:lastModifiedBy>
  <dcterms:modified xsi:type="dcterms:W3CDTF">2022-01-24T07:30:35Z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A040FF9F1EE94C1AB11AB6F7D59FF526</vt:lpwstr>
  </property>
</Properties>
</file>