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rFonts w:hint="eastAsia" w:asciiTheme="minorEastAsia" w:hAnsiTheme="minorEastAsia" w:eastAsiaTheme="minorEastAsia" w:cstheme="minorEastAsia"/>
          <w:b/>
          <w:bCs w:val="0"/>
          <w:color w:val="auto"/>
          <w:sz w:val="22"/>
          <w:szCs w:val="22"/>
          <w:highlight w:val="none"/>
          <w:u w:val="none"/>
          <w:lang w:val="en-US" w:eastAsia="zh-CN" w:bidi="ar"/>
        </w:rPr>
      </w:pPr>
      <w:r>
        <w:rPr>
          <w:rStyle w:val="8"/>
          <w:rFonts w:hint="eastAsia" w:asciiTheme="minorEastAsia" w:hAnsiTheme="minorEastAsia" w:eastAsiaTheme="minorEastAsia" w:cstheme="minorEastAsia"/>
          <w:b/>
          <w:bCs w:val="0"/>
          <w:color w:val="auto"/>
          <w:sz w:val="28"/>
          <w:szCs w:val="28"/>
          <w:highlight w:val="none"/>
          <w:u w:val="none"/>
          <w:lang w:val="en-US" w:eastAsia="zh-CN" w:bidi="ar"/>
        </w:rPr>
        <w:t>附表一</w:t>
      </w:r>
    </w:p>
    <w:p>
      <w:pPr>
        <w:rPr>
          <w:rStyle w:val="8"/>
          <w:rFonts w:hint="eastAsia" w:asciiTheme="minorEastAsia" w:hAnsiTheme="minorEastAsia" w:eastAsiaTheme="minorEastAsia" w:cstheme="minorEastAsia"/>
          <w:b/>
          <w:bCs w:val="0"/>
          <w:color w:val="auto"/>
          <w:sz w:val="22"/>
          <w:szCs w:val="22"/>
          <w:highlight w:val="none"/>
          <w:u w:val="none"/>
          <w:lang w:val="en-US" w:eastAsia="zh-CN" w:bidi="ar"/>
        </w:rPr>
      </w:pP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widowControl/>
              <w:jc w:val="center"/>
              <w:textAlignment w:val="center"/>
              <w:rPr>
                <w:rFonts w:ascii="宋体" w:hAnsi="宋体" w:cs="宋体"/>
                <w:b/>
                <w:color w:val="auto"/>
                <w:sz w:val="28"/>
                <w:szCs w:val="28"/>
                <w:highlight w:val="none"/>
              </w:rPr>
            </w:pPr>
            <w:r>
              <w:rPr>
                <w:rFonts w:hint="eastAsia" w:ascii="仿宋" w:hAnsi="仿宋" w:eastAsia="仿宋" w:cs="仿宋"/>
                <w:b/>
                <w:bCs/>
                <w:color w:val="auto"/>
                <w:sz w:val="28"/>
                <w:szCs w:val="28"/>
                <w:highlight w:val="none"/>
              </w:rPr>
              <w:t>拟</w:t>
            </w:r>
            <w:r>
              <w:rPr>
                <w:rFonts w:hint="eastAsia" w:ascii="仿宋" w:hAnsi="仿宋" w:eastAsia="仿宋" w:cs="仿宋"/>
                <w:b/>
                <w:color w:val="auto"/>
                <w:kern w:val="0"/>
                <w:sz w:val="28"/>
                <w:szCs w:val="28"/>
                <w:highlight w:val="none"/>
                <w:lang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6"/>
              <w:tblpPr w:leftFromText="180" w:rightFromText="180" w:vertAnchor="text" w:horzAnchor="page" w:tblpXSpec="center" w:tblpY="-2073"/>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767"/>
              <w:gridCol w:w="873"/>
              <w:gridCol w:w="913"/>
              <w:gridCol w:w="900"/>
              <w:gridCol w:w="816"/>
              <w:gridCol w:w="1117"/>
              <w:gridCol w:w="767"/>
              <w:gridCol w:w="766"/>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645"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序号</w:t>
                  </w:r>
                </w:p>
              </w:tc>
              <w:tc>
                <w:tcPr>
                  <w:tcW w:w="1767"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机械设备名称</w:t>
                  </w:r>
                </w:p>
              </w:tc>
              <w:tc>
                <w:tcPr>
                  <w:tcW w:w="873"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规格、型号</w:t>
                  </w:r>
                </w:p>
              </w:tc>
              <w:tc>
                <w:tcPr>
                  <w:tcW w:w="913"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单位</w:t>
                  </w:r>
                </w:p>
              </w:tc>
              <w:tc>
                <w:tcPr>
                  <w:tcW w:w="1716" w:type="dxa"/>
                  <w:gridSpan w:val="2"/>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基本要求</w:t>
                  </w:r>
                </w:p>
              </w:tc>
              <w:tc>
                <w:tcPr>
                  <w:tcW w:w="1117"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每增加一台自有设备加分值</w:t>
                  </w:r>
                </w:p>
              </w:tc>
              <w:tc>
                <w:tcPr>
                  <w:tcW w:w="767"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加分上限</w:t>
                  </w:r>
                </w:p>
              </w:tc>
              <w:tc>
                <w:tcPr>
                  <w:tcW w:w="766"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出厂日期</w:t>
                  </w:r>
                </w:p>
              </w:tc>
              <w:tc>
                <w:tcPr>
                  <w:tcW w:w="1084" w:type="dxa"/>
                  <w:vMerge w:val="restart"/>
                  <w:tcBorders>
                    <w:tl2br w:val="nil"/>
                    <w:tr2bl w:val="nil"/>
                  </w:tcBorders>
                  <w:noWrap w:val="0"/>
                  <w:vAlign w:val="center"/>
                </w:tcPr>
                <w:p>
                  <w:pPr>
                    <w:widowControl/>
                    <w:numPr>
                      <w:ilvl w:val="0"/>
                      <w:numId w:val="0"/>
                    </w:numPr>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645"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1767"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873"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913"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900" w:type="dxa"/>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总数量</w:t>
                  </w:r>
                </w:p>
              </w:tc>
              <w:tc>
                <w:tcPr>
                  <w:tcW w:w="816" w:type="dxa"/>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自有设备</w:t>
                  </w:r>
                </w:p>
              </w:tc>
              <w:tc>
                <w:tcPr>
                  <w:tcW w:w="1117"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767"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766"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1084"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bidi="ar-SA"/>
                    </w:rPr>
                    <w:t>1</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数控</w:t>
                  </w:r>
                  <w:r>
                    <w:rPr>
                      <w:rFonts w:hint="eastAsia" w:asciiTheme="minorEastAsia" w:hAnsiTheme="minorEastAsia" w:eastAsiaTheme="minorEastAsia" w:cstheme="minorEastAsia"/>
                      <w:color w:val="auto"/>
                      <w:kern w:val="0"/>
                      <w:sz w:val="20"/>
                      <w:szCs w:val="20"/>
                      <w:highlight w:val="none"/>
                    </w:rPr>
                    <w:t>钢筋弯箍机</w:t>
                  </w:r>
                </w:p>
              </w:tc>
              <w:tc>
                <w:tcPr>
                  <w:tcW w:w="87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9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1</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6" w:type="dxa"/>
                  <w:vMerge w:val="restart"/>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2016年1月后</w:t>
                  </w:r>
                </w:p>
              </w:tc>
              <w:tc>
                <w:tcPr>
                  <w:tcW w:w="1084" w:type="dxa"/>
                  <w:vMerge w:val="restart"/>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数控钢筋调直切断机</w:t>
                  </w:r>
                </w:p>
              </w:tc>
              <w:tc>
                <w:tcPr>
                  <w:tcW w:w="87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9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6"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1084"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3</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数控钢筋切断机</w:t>
                  </w:r>
                </w:p>
              </w:tc>
              <w:tc>
                <w:tcPr>
                  <w:tcW w:w="87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9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1</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sz w:val="20"/>
                      <w:szCs w:val="20"/>
                      <w:highlight w:val="none"/>
                      <w:lang w:val="en-US" w:eastAsia="zh-CN"/>
                    </w:rPr>
                    <w:t>0.5</w:t>
                  </w:r>
                </w:p>
              </w:tc>
              <w:tc>
                <w:tcPr>
                  <w:tcW w:w="766"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1084"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4</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数控钢筋</w:t>
                  </w:r>
                  <w:r>
                    <w:rPr>
                      <w:rFonts w:hint="eastAsia" w:asciiTheme="minorEastAsia" w:hAnsiTheme="minorEastAsia" w:eastAsiaTheme="minorEastAsia" w:cstheme="minorEastAsia"/>
                      <w:color w:val="auto"/>
                      <w:kern w:val="0"/>
                      <w:sz w:val="20"/>
                      <w:szCs w:val="20"/>
                      <w:highlight w:val="none"/>
                      <w:lang w:val="en-US" w:eastAsia="zh-CN"/>
                    </w:rPr>
                    <w:t>滚</w:t>
                  </w:r>
                  <w:r>
                    <w:rPr>
                      <w:rFonts w:hint="eastAsia" w:asciiTheme="minorEastAsia" w:hAnsiTheme="minorEastAsia" w:eastAsiaTheme="minorEastAsia" w:cstheme="minorEastAsia"/>
                      <w:color w:val="auto"/>
                      <w:kern w:val="0"/>
                      <w:sz w:val="20"/>
                      <w:szCs w:val="20"/>
                      <w:highlight w:val="none"/>
                    </w:rPr>
                    <w:t>笼机</w:t>
                  </w:r>
                </w:p>
              </w:tc>
              <w:tc>
                <w:tcPr>
                  <w:tcW w:w="87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9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rPr>
                    <w:t>1</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2"/>
                      <w:sz w:val="20"/>
                      <w:szCs w:val="20"/>
                      <w:highlight w:val="none"/>
                      <w:lang w:val="en-US" w:eastAsia="zh-CN" w:bidi="ar-SA"/>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default"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2"/>
                      <w:sz w:val="20"/>
                      <w:szCs w:val="20"/>
                      <w:highlight w:val="none"/>
                      <w:lang w:val="en-US" w:eastAsia="zh-CN" w:bidi="ar-SA"/>
                    </w:rPr>
                    <w:t>0.5</w:t>
                  </w:r>
                </w:p>
              </w:tc>
              <w:tc>
                <w:tcPr>
                  <w:tcW w:w="767" w:type="dxa"/>
                  <w:tcBorders>
                    <w:tl2br w:val="nil"/>
                    <w:tr2bl w:val="nil"/>
                  </w:tcBorders>
                  <w:noWrap w:val="0"/>
                  <w:vAlign w:val="center"/>
                </w:tcPr>
                <w:p>
                  <w:pPr>
                    <w:widowControl/>
                    <w:numPr>
                      <w:ilvl w:val="0"/>
                      <w:numId w:val="0"/>
                    </w:numPr>
                    <w:ind w:left="0" w:leftChars="0" w:firstLine="0" w:firstLineChars="0"/>
                    <w:jc w:val="center"/>
                    <w:rPr>
                      <w:rFonts w:hint="default"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2"/>
                      <w:sz w:val="20"/>
                      <w:szCs w:val="20"/>
                      <w:highlight w:val="none"/>
                      <w:lang w:val="en-US" w:eastAsia="zh-CN" w:bidi="ar-SA"/>
                    </w:rPr>
                    <w:t>0.5</w:t>
                  </w:r>
                </w:p>
              </w:tc>
              <w:tc>
                <w:tcPr>
                  <w:tcW w:w="766"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c>
                <w:tcPr>
                  <w:tcW w:w="1084" w:type="dxa"/>
                  <w:vMerge w:val="continue"/>
                  <w:tcBorders>
                    <w:tl2br w:val="nil"/>
                    <w:tr2bl w:val="nil"/>
                  </w:tcBorders>
                  <w:noWrap w:val="0"/>
                  <w:vAlign w:val="center"/>
                </w:tcPr>
                <w:p>
                  <w:pPr>
                    <w:widowControl/>
                    <w:numPr>
                      <w:ilvl w:val="0"/>
                      <w:numId w:val="0"/>
                    </w:numPr>
                    <w:jc w:val="left"/>
                    <w:rPr>
                      <w:rFonts w:hint="eastAsia" w:asciiTheme="minorEastAsia" w:hAnsiTheme="minorEastAsia" w:eastAsiaTheme="minorEastAsia" w:cstheme="minorEastAsia"/>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运输车</w:t>
                  </w:r>
                </w:p>
              </w:tc>
              <w:tc>
                <w:tcPr>
                  <w:tcW w:w="8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91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81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111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0.5</w:t>
                  </w:r>
                </w:p>
              </w:tc>
              <w:tc>
                <w:tcPr>
                  <w:tcW w:w="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w:t>
                  </w:r>
                </w:p>
              </w:tc>
              <w:tc>
                <w:tcPr>
                  <w:tcW w:w="7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c>
                <w:tcPr>
                  <w:tcW w:w="108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6</w:t>
                  </w: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10</w:t>
                  </w:r>
                  <w:r>
                    <w:rPr>
                      <w:rFonts w:hint="eastAsia" w:asciiTheme="minorEastAsia" w:hAnsiTheme="minorEastAsia" w:eastAsiaTheme="minorEastAsia" w:cstheme="minorEastAsia"/>
                      <w:color w:val="auto"/>
                      <w:kern w:val="0"/>
                      <w:sz w:val="20"/>
                      <w:szCs w:val="20"/>
                      <w:highlight w:val="none"/>
                    </w:rPr>
                    <w:t>t龙门吊</w:t>
                  </w:r>
                </w:p>
              </w:tc>
              <w:tc>
                <w:tcPr>
                  <w:tcW w:w="8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9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套</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2</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0"/>
                      <w:sz w:val="20"/>
                      <w:szCs w:val="20"/>
                      <w:highlight w:val="none"/>
                      <w:lang w:val="en-US" w:eastAsia="zh-CN"/>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p>
              </w:tc>
              <w:tc>
                <w:tcPr>
                  <w:tcW w:w="76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p>
              </w:tc>
              <w:tc>
                <w:tcPr>
                  <w:tcW w:w="766"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c>
                <w:tcPr>
                  <w:tcW w:w="108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64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176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发电机</w:t>
                  </w:r>
                </w:p>
              </w:tc>
              <w:tc>
                <w:tcPr>
                  <w:tcW w:w="8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bidi="ar-SA"/>
                    </w:rPr>
                    <w:t>200KW</w:t>
                  </w:r>
                </w:p>
              </w:tc>
              <w:tc>
                <w:tcPr>
                  <w:tcW w:w="9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lang w:val="en-US" w:eastAsia="zh-CN"/>
                    </w:rPr>
                    <w:t>台</w:t>
                  </w:r>
                </w:p>
              </w:tc>
              <w:tc>
                <w:tcPr>
                  <w:tcW w:w="90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w:t>
                  </w:r>
                </w:p>
              </w:tc>
              <w:tc>
                <w:tcPr>
                  <w:tcW w:w="816"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kern w:val="0"/>
                      <w:sz w:val="20"/>
                      <w:szCs w:val="20"/>
                      <w:highlight w:val="none"/>
                      <w:lang w:val="en-US" w:eastAsia="zh-CN"/>
                    </w:rPr>
                  </w:pPr>
                </w:p>
              </w:tc>
              <w:tc>
                <w:tcPr>
                  <w:tcW w:w="111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sz w:val="20"/>
                      <w:szCs w:val="20"/>
                      <w:highlight w:val="none"/>
                      <w:lang w:val="en-US" w:eastAsia="zh-CN"/>
                    </w:rPr>
                  </w:pPr>
                </w:p>
              </w:tc>
              <w:tc>
                <w:tcPr>
                  <w:tcW w:w="767" w:type="dxa"/>
                  <w:tcBorders>
                    <w:tl2br w:val="nil"/>
                    <w:tr2bl w:val="nil"/>
                  </w:tcBorders>
                  <w:noWrap w:val="0"/>
                  <w:vAlign w:val="center"/>
                </w:tcPr>
                <w:p>
                  <w:pPr>
                    <w:widowControl/>
                    <w:numPr>
                      <w:ilvl w:val="0"/>
                      <w:numId w:val="0"/>
                    </w:numPr>
                    <w:ind w:left="0" w:leftChars="0" w:firstLine="0" w:firstLineChars="0"/>
                    <w:jc w:val="center"/>
                    <w:rPr>
                      <w:rFonts w:hint="eastAsia" w:asciiTheme="minorEastAsia" w:hAnsiTheme="minorEastAsia" w:eastAsiaTheme="minorEastAsia" w:cstheme="minorEastAsia"/>
                      <w:color w:val="auto"/>
                      <w:sz w:val="20"/>
                      <w:szCs w:val="20"/>
                      <w:highlight w:val="none"/>
                      <w:lang w:val="en-US" w:eastAsia="zh-CN"/>
                    </w:rPr>
                  </w:pPr>
                </w:p>
              </w:tc>
              <w:tc>
                <w:tcPr>
                  <w:tcW w:w="76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c>
                <w:tcPr>
                  <w:tcW w:w="108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center"/>
                    <w:rPr>
                      <w:rFonts w:hint="eastAsia" w:asciiTheme="minorEastAsia" w:hAnsiTheme="minorEastAsia" w:eastAsiaTheme="minorEastAsia" w:cstheme="minorEastAsia"/>
                      <w:color w:val="auto"/>
                      <w:kern w:val="0"/>
                      <w:sz w:val="20"/>
                      <w:szCs w:val="20"/>
                      <w:highlight w:val="none"/>
                    </w:rPr>
                  </w:pPr>
                </w:p>
              </w:tc>
            </w:tr>
          </w:tbl>
          <w:p>
            <w:pPr>
              <w:widowControl/>
              <w:numPr>
                <w:ilvl w:val="0"/>
                <w:numId w:val="0"/>
              </w:numPr>
              <w:jc w:val="left"/>
              <w:rPr>
                <w:rFonts w:hint="eastAsia" w:ascii="宋体" w:hAnsi="宋体" w:eastAsia="宋体" w:cs="宋体"/>
                <w:color w:val="auto"/>
                <w:sz w:val="22"/>
                <w:szCs w:val="28"/>
                <w:highlight w:val="none"/>
              </w:rPr>
            </w:pPr>
          </w:p>
          <w:p>
            <w:pPr>
              <w:widowControl/>
              <w:numPr>
                <w:ilvl w:val="0"/>
                <w:numId w:val="0"/>
              </w:num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注：1、若监理工程师或招标人认为投标人配备的机械设备不能满足现场施工的需要，或不能保证工程质量和进度时，招标人有权要求投标人增加。</w:t>
            </w:r>
          </w:p>
          <w:p>
            <w:pPr>
              <w:widowControl/>
              <w:numPr>
                <w:ilvl w:val="0"/>
                <w:numId w:val="0"/>
              </w:numPr>
              <w:jc w:val="left"/>
              <w:rPr>
                <w:rFonts w:ascii="宋体" w:hAnsi="宋体" w:cs="宋体"/>
                <w:color w:val="auto"/>
                <w:kern w:val="0"/>
                <w:sz w:val="18"/>
                <w:szCs w:val="18"/>
                <w:highlight w:val="none"/>
                <w:lang w:bidi="ar"/>
              </w:rPr>
            </w:pPr>
            <w:r>
              <w:rPr>
                <w:rFonts w:hint="eastAsia" w:ascii="宋体" w:hAnsi="宋体" w:eastAsia="宋体" w:cs="宋体"/>
                <w:color w:val="auto"/>
                <w:sz w:val="20"/>
                <w:szCs w:val="20"/>
                <w:highlight w:val="none"/>
              </w:rPr>
              <w:t>2、本表中的总数量为承包人中标后向发包人承诺的投入最低设备要求，并以书面形式纳入合同附件。</w:t>
            </w:r>
          </w:p>
        </w:tc>
      </w:tr>
    </w:tbl>
    <w:p>
      <w:pPr>
        <w:rPr>
          <w:rStyle w:val="8"/>
          <w:rFonts w:hint="eastAsia" w:asciiTheme="minorEastAsia" w:hAnsiTheme="minorEastAsia" w:eastAsiaTheme="minorEastAsia" w:cstheme="minorEastAsia"/>
          <w:b/>
          <w:bCs w:val="0"/>
          <w:color w:val="auto"/>
          <w:sz w:val="22"/>
          <w:szCs w:val="22"/>
          <w:highlight w:val="none"/>
          <w:u w:val="none"/>
          <w:lang w:val="en-US" w:eastAsia="zh-CN" w:bidi="ar"/>
        </w:rPr>
      </w:pPr>
      <w:r>
        <w:rPr>
          <w:rStyle w:val="8"/>
          <w:rFonts w:hint="eastAsia" w:asciiTheme="minorEastAsia" w:hAnsiTheme="minorEastAsia" w:eastAsiaTheme="minorEastAsia" w:cstheme="minorEastAsia"/>
          <w:b/>
          <w:bCs w:val="0"/>
          <w:color w:val="auto"/>
          <w:sz w:val="22"/>
          <w:szCs w:val="22"/>
          <w:highlight w:val="none"/>
          <w:u w:val="none"/>
          <w:lang w:val="en-US" w:eastAsia="zh-CN" w:bidi="ar"/>
        </w:rPr>
        <w:br w:type="page"/>
      </w:r>
    </w:p>
    <w:p>
      <w:pPr>
        <w:keepNext w:val="0"/>
        <w:keepLines w:val="0"/>
        <w:pageBreakBefore w:val="0"/>
        <w:kinsoku/>
        <w:wordWrap/>
        <w:overflowPunct/>
        <w:topLinePunct w:val="0"/>
        <w:autoSpaceDE/>
        <w:autoSpaceDN/>
        <w:bidi w:val="0"/>
        <w:adjustRightInd/>
        <w:snapToGrid/>
        <w:spacing w:line="520" w:lineRule="exact"/>
        <w:jc w:val="left"/>
        <w:rPr>
          <w:rStyle w:val="8"/>
          <w:rFonts w:hint="eastAsia" w:asciiTheme="minorEastAsia" w:hAnsiTheme="minorEastAsia" w:eastAsiaTheme="minorEastAsia" w:cstheme="minorEastAsia"/>
          <w:b/>
          <w:bCs/>
          <w:color w:val="auto"/>
          <w:sz w:val="28"/>
          <w:szCs w:val="28"/>
          <w:highlight w:val="none"/>
          <w:u w:val="none"/>
          <w:lang w:val="en-US" w:eastAsia="zh-CN" w:bidi="ar"/>
        </w:rPr>
      </w:pPr>
      <w:r>
        <w:rPr>
          <w:rStyle w:val="8"/>
          <w:rFonts w:hint="eastAsia" w:asciiTheme="minorEastAsia" w:hAnsiTheme="minorEastAsia" w:eastAsiaTheme="minorEastAsia" w:cstheme="minorEastAsia"/>
          <w:b/>
          <w:bCs/>
          <w:color w:val="auto"/>
          <w:sz w:val="28"/>
          <w:szCs w:val="28"/>
          <w:highlight w:val="none"/>
          <w:u w:val="none"/>
          <w:lang w:val="en-US" w:eastAsia="zh-CN" w:bidi="ar"/>
        </w:rPr>
        <w:t>附表二</w:t>
      </w:r>
    </w:p>
    <w:p>
      <w:pPr>
        <w:keepNext w:val="0"/>
        <w:keepLines w:val="0"/>
        <w:pageBreakBefore w:val="0"/>
        <w:kinsoku/>
        <w:wordWrap/>
        <w:overflowPunct/>
        <w:topLinePunct w:val="0"/>
        <w:autoSpaceDE/>
        <w:autoSpaceDN/>
        <w:bidi w:val="0"/>
        <w:adjustRightInd/>
        <w:snapToGrid/>
        <w:spacing w:line="520" w:lineRule="exact"/>
        <w:jc w:val="center"/>
        <w:rPr>
          <w:rFonts w:hint="eastAsia" w:asciiTheme="minorEastAsia" w:hAnsiTheme="minorEastAsia" w:eastAsiaTheme="minorEastAsia" w:cstheme="minorEastAsia"/>
          <w:color w:val="auto"/>
          <w:sz w:val="28"/>
          <w:szCs w:val="28"/>
          <w:highlight w:val="none"/>
        </w:rPr>
      </w:pPr>
      <w:r>
        <w:rPr>
          <w:rStyle w:val="8"/>
          <w:rFonts w:hint="eastAsia" w:asciiTheme="minorEastAsia" w:hAnsiTheme="minorEastAsia" w:eastAsiaTheme="minorEastAsia" w:cstheme="minorEastAsia"/>
          <w:b/>
          <w:bCs/>
          <w:color w:val="auto"/>
          <w:sz w:val="28"/>
          <w:szCs w:val="28"/>
          <w:highlight w:val="none"/>
          <w:u w:val="none"/>
          <w:lang w:val="en-US" w:eastAsia="zh-CN" w:bidi="ar"/>
        </w:rPr>
        <w:t>钢筋加工厂投入人员明细表（最低要求）</w:t>
      </w:r>
    </w:p>
    <w:tbl>
      <w:tblPr>
        <w:tblStyle w:val="6"/>
        <w:tblW w:w="7669" w:type="dxa"/>
        <w:jc w:val="center"/>
        <w:tblLayout w:type="fixed"/>
        <w:tblCellMar>
          <w:top w:w="0" w:type="dxa"/>
          <w:left w:w="0" w:type="dxa"/>
          <w:bottom w:w="0" w:type="dxa"/>
          <w:right w:w="0" w:type="dxa"/>
        </w:tblCellMar>
      </w:tblPr>
      <w:tblGrid>
        <w:gridCol w:w="969"/>
        <w:gridCol w:w="1791"/>
        <w:gridCol w:w="857"/>
        <w:gridCol w:w="4052"/>
      </w:tblGrid>
      <w:tr>
        <w:tblPrEx>
          <w:tblCellMar>
            <w:top w:w="0" w:type="dxa"/>
            <w:left w:w="0" w:type="dxa"/>
            <w:bottom w:w="0" w:type="dxa"/>
            <w:right w:w="0" w:type="dxa"/>
          </w:tblCellMar>
        </w:tblPrEx>
        <w:trPr>
          <w:trHeight w:val="893" w:hRule="atLeast"/>
          <w:jc w:val="center"/>
        </w:trPr>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4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CellMar>
            <w:top w:w="0" w:type="dxa"/>
            <w:left w:w="0" w:type="dxa"/>
            <w:bottom w:w="0" w:type="dxa"/>
            <w:right w:w="0" w:type="dxa"/>
          </w:tblCellMar>
        </w:tblPrEx>
        <w:trPr>
          <w:trHeight w:val="1233" w:hRule="atLeast"/>
          <w:jc w:val="center"/>
        </w:trPr>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有一个及以上类似施工管理经验。</w:t>
            </w:r>
          </w:p>
        </w:tc>
      </w:tr>
      <w:tr>
        <w:tblPrEx>
          <w:tblCellMar>
            <w:top w:w="0" w:type="dxa"/>
            <w:left w:w="0" w:type="dxa"/>
            <w:bottom w:w="0" w:type="dxa"/>
            <w:right w:w="0" w:type="dxa"/>
          </w:tblCellMar>
        </w:tblPrEx>
        <w:trPr>
          <w:trHeight w:val="1383" w:hRule="atLeast"/>
          <w:jc w:val="center"/>
        </w:trPr>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有一个及以上类似施工管理经验。</w:t>
            </w:r>
          </w:p>
        </w:tc>
      </w:tr>
      <w:tr>
        <w:tblPrEx>
          <w:tblCellMar>
            <w:top w:w="0" w:type="dxa"/>
            <w:left w:w="0" w:type="dxa"/>
            <w:bottom w:w="0" w:type="dxa"/>
            <w:right w:w="0" w:type="dxa"/>
          </w:tblCellMar>
        </w:tblPrEx>
        <w:trPr>
          <w:trHeight w:val="2066" w:hRule="atLeast"/>
          <w:jc w:val="center"/>
        </w:trPr>
        <w:tc>
          <w:tcPr>
            <w:tcW w:w="9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安全负责人</w:t>
            </w:r>
          </w:p>
        </w:tc>
        <w:tc>
          <w:tcPr>
            <w:tcW w:w="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一个及以上类似工程安全管理经验，具有主管部门颁发的安全员C级资格证书。</w:t>
            </w:r>
          </w:p>
        </w:tc>
      </w:tr>
    </w:tbl>
    <w:p>
      <w:pPr>
        <w:keepNext w:val="0"/>
        <w:keepLines w:val="0"/>
        <w:pageBreakBefore w:val="0"/>
        <w:widowControl/>
        <w:kinsoku/>
        <w:wordWrap/>
        <w:overflowPunct/>
        <w:topLinePunct w:val="0"/>
        <w:autoSpaceDE/>
        <w:autoSpaceDN/>
        <w:bidi w:val="0"/>
        <w:adjustRightInd/>
        <w:snapToGrid/>
        <w:spacing w:before="0" w:beforeLines="50" w:line="360" w:lineRule="auto"/>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注：1、本表为主要人员的最低要求，投标人应根据施工需要或招标人的要求增加相关专业技术人员。 </w:t>
      </w:r>
    </w:p>
    <w:p>
      <w:pPr>
        <w:widowControl/>
        <w:spacing w:line="360" w:lineRule="auto"/>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widowControl/>
        <w:spacing w:line="360" w:lineRule="auto"/>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3、相关管理人员及技术人员必须在岗，有特殊情况离岗必须向项目部请假并得到批准。</w:t>
      </w:r>
    </w:p>
    <w:p>
      <w:pPr>
        <w:widowControl/>
        <w:spacing w:line="360" w:lineRule="auto"/>
        <w:jc w:val="left"/>
        <w:textAlignment w:val="center"/>
        <w:rPr>
          <w:rFonts w:hint="eastAsia" w:ascii="宋体" w:hAnsi="宋体" w:eastAsia="宋体" w:cs="宋体"/>
          <w:color w:val="auto"/>
          <w:kern w:val="0"/>
          <w:sz w:val="21"/>
          <w:szCs w:val="21"/>
          <w:lang w:bidi="ar"/>
        </w:rPr>
      </w:pPr>
    </w:p>
    <w:p>
      <w:pPr>
        <w:pStyle w:val="9"/>
        <w:tabs>
          <w:tab w:val="right" w:leader="dot" w:pos="8306"/>
        </w:tabs>
        <w:jc w:val="both"/>
        <w:rPr>
          <w:rFonts w:hint="eastAsia" w:ascii="宋体" w:hAnsi="宋体" w:eastAsia="宋体" w:cs="宋体"/>
          <w:b/>
          <w:bCs/>
          <w:color w:val="auto"/>
          <w:sz w:val="21"/>
          <w:szCs w:val="21"/>
          <w:highlight w:val="none"/>
          <w:lang w:bidi="zh-CN"/>
        </w:rPr>
      </w:pPr>
    </w:p>
    <w:p>
      <w:pPr>
        <w:pStyle w:val="9"/>
        <w:tabs>
          <w:tab w:val="right" w:leader="dot" w:pos="8306"/>
        </w:tabs>
        <w:jc w:val="both"/>
        <w:rPr>
          <w:rFonts w:ascii="等线" w:hAnsi="等线" w:eastAsia="等线" w:cs="等线"/>
          <w:b/>
          <w:bCs/>
          <w:color w:val="auto"/>
          <w:sz w:val="44"/>
          <w:szCs w:val="44"/>
          <w:highlight w:val="none"/>
          <w:lang w:bidi="zh-CN"/>
        </w:rPr>
      </w:pPr>
    </w:p>
    <w:p>
      <w:pPr>
        <w:pStyle w:val="9"/>
        <w:tabs>
          <w:tab w:val="right" w:leader="dot" w:pos="8306"/>
        </w:tabs>
        <w:jc w:val="both"/>
        <w:rPr>
          <w:rFonts w:ascii="等线" w:hAnsi="等线" w:eastAsia="等线" w:cs="等线"/>
          <w:b/>
          <w:bCs/>
          <w:color w:val="auto"/>
          <w:sz w:val="44"/>
          <w:szCs w:val="44"/>
          <w:highlight w:val="none"/>
          <w:lang w:bidi="zh-CN"/>
        </w:rPr>
      </w:pPr>
    </w:p>
    <w:p>
      <w:pPr>
        <w:pStyle w:val="9"/>
        <w:tabs>
          <w:tab w:val="right" w:leader="dot" w:pos="8306"/>
        </w:tabs>
        <w:jc w:val="both"/>
        <w:rPr>
          <w:rFonts w:ascii="等线" w:hAnsi="等线" w:eastAsia="等线" w:cs="等线"/>
          <w:b/>
          <w:bCs/>
          <w:color w:val="auto"/>
          <w:sz w:val="44"/>
          <w:szCs w:val="44"/>
          <w:highlight w:val="none"/>
          <w:lang w:bidi="zh-CN"/>
        </w:rPr>
      </w:pPr>
    </w:p>
    <w:p>
      <w:pPr>
        <w:pStyle w:val="9"/>
        <w:tabs>
          <w:tab w:val="right" w:leader="dot" w:pos="8306"/>
        </w:tabs>
        <w:jc w:val="both"/>
        <w:rPr>
          <w:rFonts w:ascii="等线" w:hAnsi="等线" w:eastAsia="等线" w:cs="等线"/>
          <w:b/>
          <w:bCs/>
          <w:color w:val="auto"/>
          <w:sz w:val="44"/>
          <w:szCs w:val="44"/>
          <w:highlight w:val="none"/>
          <w:lang w:bidi="zh-CN"/>
        </w:rPr>
      </w:pPr>
    </w:p>
    <w:p>
      <w:pPr>
        <w:pStyle w:val="9"/>
        <w:tabs>
          <w:tab w:val="right" w:leader="dot" w:pos="8306"/>
        </w:tabs>
        <w:jc w:val="both"/>
        <w:rPr>
          <w:rFonts w:ascii="等线" w:hAnsi="等线" w:eastAsia="等线" w:cs="等线"/>
          <w:b/>
          <w:bCs/>
          <w:color w:val="auto"/>
          <w:sz w:val="44"/>
          <w:szCs w:val="44"/>
          <w:highlight w:val="none"/>
          <w:lang w:bidi="zh-CN"/>
        </w:rPr>
      </w:pPr>
    </w:p>
    <w:p>
      <w:pPr>
        <w:pStyle w:val="2"/>
        <w:ind w:left="0" w:leftChars="0" w:firstLine="0" w:firstLineChars="0"/>
        <w:rPr>
          <w:rStyle w:val="8"/>
          <w:rFonts w:hint="eastAsia"/>
          <w:b w:val="0"/>
          <w:bCs/>
          <w:color w:val="auto"/>
          <w:sz w:val="16"/>
          <w:szCs w:val="16"/>
          <w:highlight w:val="none"/>
          <w:u w:val="none"/>
          <w:lang w:val="en-US" w:eastAsia="zh-CN" w:bidi="ar"/>
        </w:rPr>
      </w:pPr>
      <w:bookmarkStart w:id="0" w:name="_GoBack"/>
      <w:bookmarkEnd w:id="0"/>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7169D"/>
    <w:rsid w:val="6C87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宋体" w:hAnsi="宋体" w:eastAsia="宋体" w:cs="宋体"/>
      <w:color w:val="000000"/>
      <w:sz w:val="18"/>
      <w:szCs w:val="18"/>
      <w:u w:val="none"/>
    </w:rPr>
  </w:style>
  <w:style w:type="paragraph" w:customStyle="1" w:styleId="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2022-01-06T07:59:00Z</dcterms:created>
  <dc:creator>大喵吃小鱼</dc:creator>
  <cp:lastModifiedBy>大喵吃小鱼</cp:lastModifiedBy>
  <dcterms:modified xsi:type="dcterms:W3CDTF">2022-01-06T08:00:27Z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FD8AB49873334B3A82AD9504374E4D42</vt:lpwstr>
  </property>
</Properties>
</file>