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附表一</w:t>
      </w:r>
    </w:p>
    <w:p>
      <w:pPr>
        <w:pStyle w:val="2"/>
        <w:ind w:firstLine="0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  <w:lang w:val="en-US" w:eastAsia="zh-CN"/>
        </w:rPr>
        <w:t>碎石加工场、弃土场及便道临建工程施工分包</w:t>
      </w: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</w:rPr>
        <w:t>一览表</w:t>
      </w: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</w:p>
    <w:tbl>
      <w:tblPr>
        <w:tblStyle w:val="6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临建内容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G4216线宜金高速公路XJ9项目部XJ9-5碎石加工场、弃土场及便道临建工程项目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K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45+152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～K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51+037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主要内容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土石方、排水、防护、涵洞、场地及便道的硬化、钢结构彩钢大棚料仓等。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建设工期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用水情况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生活用水：自来水或者井水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建筑用材要求</w:t>
            </w:r>
          </w:p>
        </w:tc>
        <w:tc>
          <w:tcPr>
            <w:tcW w:w="7193" w:type="dxa"/>
          </w:tcPr>
          <w:p>
            <w:pPr>
              <w:pStyle w:val="2"/>
              <w:ind w:firstLine="0"/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涵洞：1-Φ1.0m钢筋砼圆管涵；</w:t>
            </w:r>
          </w:p>
          <w:p>
            <w:pPr>
              <w:pStyle w:val="2"/>
              <w:ind w:firstLine="0"/>
              <w:jc w:val="left"/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彩钢棚：顶面采用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2000mm*1000*0.6m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、（立面、侧面围挡）采用2000mm*1000*0.5m。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彩钢围挡采用2500mm*1000*4mm。</w:t>
            </w:r>
          </w:p>
        </w:tc>
      </w:tr>
    </w:tbl>
    <w:p>
      <w:pPr>
        <w:pStyle w:val="2"/>
        <w:ind w:firstLine="0"/>
        <w:rPr>
          <w:color w:val="auto"/>
          <w:highlight w:val="none"/>
        </w:rPr>
      </w:pP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</w:p>
    <w:p>
      <w:pPr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br w:type="page"/>
      </w:r>
    </w:p>
    <w:p>
      <w:pPr>
        <w:pStyle w:val="2"/>
        <w:ind w:firstLine="0"/>
        <w:rPr>
          <w:rFonts w:hint="eastAsia" w:ascii="宋体" w:hAnsi="宋体" w:eastAsia="仿宋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二</w:t>
      </w:r>
    </w:p>
    <w:p>
      <w:pPr>
        <w:pStyle w:val="2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center"/>
        <w:rPr>
          <w:rFonts w:hint="default" w:ascii="宋体" w:hAnsi="宋体" w:eastAsia="宋体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宋体" w:hAnsi="宋体" w:eastAsia="宋体" w:cs="仿宋"/>
          <w:b/>
          <w:bCs/>
          <w:color w:val="auto"/>
          <w:sz w:val="30"/>
          <w:szCs w:val="30"/>
          <w:highlight w:val="none"/>
          <w:lang w:val="en-US" w:eastAsia="zh-CN"/>
        </w:rPr>
        <w:t>投入人员明细表（最低要求）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8567" w:type="dxa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69"/>
        <w:gridCol w:w="1970"/>
        <w:gridCol w:w="143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工 种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工作任务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负责人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生产管理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技术员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技术管理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安全员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安全管理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有一个及以上类似施工安全管理经验，具有安全员C级资格证书。</w:t>
            </w:r>
          </w:p>
        </w:tc>
      </w:tr>
    </w:tbl>
    <w:p>
      <w:pPr>
        <w:pStyle w:val="2"/>
        <w:rPr>
          <w:rStyle w:val="8"/>
          <w:rFonts w:hint="default"/>
          <w:color w:val="auto"/>
          <w:sz w:val="24"/>
          <w:szCs w:val="24"/>
          <w:highlight w:val="none"/>
        </w:rPr>
      </w:pPr>
    </w:p>
    <w:p>
      <w:pPr>
        <w:pStyle w:val="2"/>
        <w:rPr>
          <w:rStyle w:val="8"/>
          <w:rFonts w:hint="default"/>
          <w:color w:val="auto"/>
          <w:sz w:val="28"/>
          <w:szCs w:val="28"/>
          <w:highlight w:val="none"/>
        </w:rPr>
      </w:pPr>
    </w:p>
    <w:p>
      <w:pPr>
        <w:spacing w:line="360" w:lineRule="auto"/>
        <w:ind w:left="126" w:leftChars="60"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 xml:space="preserve">注：1、本表为主要人员的最低要求，投标人应根据施工需要或招标人的要求增加相关专业技术人员。 </w:t>
      </w:r>
    </w:p>
    <w:p>
      <w:pPr>
        <w:spacing w:line="360" w:lineRule="auto"/>
        <w:ind w:left="840" w:leftChars="4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2、如因投标人的原因(除不可抗拒因素外)更换上述主要人员，须报请招标人批准，更换人员的资质不能低于招标文件要求，自行更换主要负责人的，对投标人按每人次课以10万元人民币违约金。</w:t>
      </w:r>
    </w:p>
    <w:p>
      <w:pPr>
        <w:pStyle w:val="2"/>
        <w:spacing w:line="360" w:lineRule="auto"/>
        <w:ind w:left="126" w:leftChars="60" w:firstLine="800" w:firstLineChars="400"/>
        <w:jc w:val="left"/>
        <w:rPr>
          <w:rFonts w:hint="eastAsia" w:ascii="宋体" w:hAnsi="宋体" w:eastAsia="宋体" w:cs="宋体"/>
          <w:color w:val="auto"/>
          <w:kern w:val="2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0"/>
          <w:szCs w:val="20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2"/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附表三</w:t>
      </w:r>
    </w:p>
    <w:tbl>
      <w:tblPr>
        <w:tblStyle w:val="5"/>
        <w:tblpPr w:leftFromText="180" w:rightFromText="180" w:vertAnchor="text" w:horzAnchor="page" w:tblpX="1347" w:tblpY="6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12"/>
        <w:gridCol w:w="1020"/>
        <w:gridCol w:w="585"/>
        <w:gridCol w:w="784"/>
        <w:gridCol w:w="662"/>
        <w:gridCol w:w="978"/>
        <w:gridCol w:w="794"/>
        <w:gridCol w:w="109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机械设备名称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规格、型号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单位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基本要求</w:t>
            </w:r>
          </w:p>
        </w:tc>
        <w:tc>
          <w:tcPr>
            <w:tcW w:w="9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每增加一台自有设备加分值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加分上限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出厂日期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总数量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自有设备</w:t>
            </w:r>
          </w:p>
        </w:tc>
        <w:tc>
          <w:tcPr>
            <w:tcW w:w="9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挖掘机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220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201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</w:rPr>
              <w:t>年1月后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自有设备需提供发票或公证机关出具的公证书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09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压路机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20T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0.5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0.5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装载机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50型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0.5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0.5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雾炮机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XYE-WPJ1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0.5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洒水车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10m³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自卸车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20m³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辆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仿宋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宋体" w:hAnsi="宋体" w:eastAsia="宋体" w:cs="仿宋"/>
          <w:b/>
          <w:bCs/>
          <w:color w:val="auto"/>
          <w:kern w:val="0"/>
          <w:sz w:val="30"/>
          <w:szCs w:val="30"/>
          <w:highlight w:val="none"/>
          <w:lang w:val="en-US" w:eastAsia="zh-CN" w:bidi="ar-SA"/>
        </w:rPr>
        <w:t>拟投入机械明细表（最低要求）</w:t>
      </w:r>
    </w:p>
    <w:p>
      <w:pPr>
        <w:ind w:firstLine="420" w:firstLineChars="200"/>
        <w:rPr>
          <w:rFonts w:hint="eastAsia" w:ascii="宋体" w:hAnsi="宋体" w:cs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pStyle w:val="2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</w:p>
    <w:p>
      <w:pPr>
        <w:pStyle w:val="2"/>
        <w:ind w:left="0" w:leftChars="0" w:firstLine="0" w:firstLineChars="0"/>
        <w:jc w:val="both"/>
        <w:rPr>
          <w:rFonts w:hint="eastAsia" w:ascii="宋体" w:hAnsi="宋体" w:cs="宋体"/>
          <w:b/>
          <w:color w:val="auto"/>
          <w:sz w:val="28"/>
          <w:szCs w:val="28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2C00"/>
    <w:rsid w:val="6BB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2022-01-06T08:05:00Z</dcterms:created>
  <dc:creator>大喵吃小鱼</dc:creator>
  <cp:lastModifiedBy>大喵吃小鱼</cp:lastModifiedBy>
  <dcterms:modified xsi:type="dcterms:W3CDTF">2022-01-06T08:09:19Z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E36FB55ABCA54DE69C5F378969998789</vt:lpwstr>
  </property>
</Properties>
</file>