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0" w:firstLine="562" w:firstLineChars="200"/>
        <w:rPr>
          <w:rFonts w:hint="eastAsia" w:cs="仿宋"/>
          <w:b/>
          <w:bCs/>
          <w:color w:val="auto"/>
          <w:sz w:val="32"/>
          <w:szCs w:val="32"/>
          <w:highlight w:val="none"/>
          <w:lang w:val="en-US" w:eastAsia="zh-CN"/>
        </w:rPr>
      </w:pPr>
      <w:r>
        <w:rPr>
          <w:rFonts w:hint="eastAsia" w:ascii="宋体" w:hAnsi="宋体" w:cs="宋体"/>
          <w:b/>
          <w:color w:val="auto"/>
          <w:sz w:val="28"/>
          <w:szCs w:val="28"/>
          <w:highlight w:val="none"/>
        </w:rPr>
        <w:t>附表一</w:t>
      </w:r>
    </w:p>
    <w:p>
      <w:pPr>
        <w:pStyle w:val="2"/>
        <w:ind w:firstLine="0"/>
        <w:jc w:val="center"/>
        <w:rPr>
          <w:rFonts w:hint="eastAsia" w:cs="仿宋"/>
          <w:b/>
          <w:bCs/>
          <w:color w:val="auto"/>
          <w:sz w:val="32"/>
          <w:szCs w:val="32"/>
          <w:highlight w:val="none"/>
          <w:lang w:eastAsia="zh-CN"/>
        </w:rPr>
      </w:pPr>
      <w:r>
        <w:rPr>
          <w:rFonts w:hint="eastAsia" w:cs="仿宋"/>
          <w:b/>
          <w:bCs/>
          <w:color w:val="auto"/>
          <w:sz w:val="28"/>
          <w:szCs w:val="28"/>
          <w:highlight w:val="none"/>
          <w:lang w:val="en-US" w:eastAsia="zh-CN"/>
        </w:rPr>
        <w:t>德昌至会理高速公路LM3标段临建工程劳务合作项目工程段划分、工期规模、工期统计表</w:t>
      </w:r>
    </w:p>
    <w:p>
      <w:pPr>
        <w:rPr>
          <w:rFonts w:hint="eastAsia"/>
          <w:color w:val="auto"/>
          <w:lang w:val="en-US" w:eastAsia="zh-CN"/>
        </w:rPr>
      </w:pPr>
    </w:p>
    <w:tbl>
      <w:tblPr>
        <w:tblStyle w:val="6"/>
        <w:tblpPr w:leftFromText="180" w:rightFromText="180" w:vertAnchor="text" w:horzAnchor="page" w:tblpX="1912" w:tblpY="163"/>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1922"/>
        <w:gridCol w:w="4151"/>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序号</w:t>
            </w:r>
          </w:p>
        </w:tc>
        <w:tc>
          <w:tcPr>
            <w:tcW w:w="1137" w:type="dxa"/>
            <w:vAlign w:val="center"/>
          </w:tcPr>
          <w:p>
            <w:pPr>
              <w:jc w:val="center"/>
              <w:rPr>
                <w:rFonts w:hint="eastAsia" w:ascii="宋体" w:hAnsi="宋体" w:cs="宋体"/>
                <w:szCs w:val="21"/>
              </w:rPr>
            </w:pPr>
            <w:r>
              <w:rPr>
                <w:rFonts w:hint="eastAsia" w:ascii="宋体" w:hAnsi="宋体" w:cs="宋体"/>
                <w:kern w:val="0"/>
                <w:szCs w:val="21"/>
                <w:lang w:bidi="ar"/>
              </w:rPr>
              <w:t>分段名称</w:t>
            </w:r>
          </w:p>
        </w:tc>
        <w:tc>
          <w:tcPr>
            <w:tcW w:w="1922" w:type="dxa"/>
            <w:vAlign w:val="center"/>
          </w:tcPr>
          <w:p>
            <w:pPr>
              <w:jc w:val="center"/>
              <w:rPr>
                <w:rFonts w:hint="eastAsia" w:ascii="宋体" w:hAnsi="宋体" w:cs="宋体"/>
                <w:szCs w:val="21"/>
              </w:rPr>
            </w:pPr>
            <w:r>
              <w:rPr>
                <w:rFonts w:hint="eastAsia" w:ascii="宋体" w:hAnsi="宋体" w:cs="宋体"/>
                <w:szCs w:val="21"/>
              </w:rPr>
              <w:t>桩号</w:t>
            </w:r>
          </w:p>
        </w:tc>
        <w:tc>
          <w:tcPr>
            <w:tcW w:w="4151" w:type="dxa"/>
            <w:vAlign w:val="center"/>
          </w:tcPr>
          <w:p>
            <w:pPr>
              <w:jc w:val="center"/>
              <w:rPr>
                <w:rFonts w:hint="eastAsia" w:ascii="宋体" w:hAnsi="宋体" w:cs="宋体"/>
                <w:szCs w:val="21"/>
              </w:rPr>
            </w:pPr>
            <w:r>
              <w:rPr>
                <w:rFonts w:hint="eastAsia" w:ascii="宋体" w:hAnsi="宋体" w:cs="宋体"/>
                <w:szCs w:val="21"/>
              </w:rPr>
              <w:t>工程范围</w:t>
            </w:r>
          </w:p>
        </w:tc>
        <w:tc>
          <w:tcPr>
            <w:tcW w:w="1853" w:type="dxa"/>
            <w:vAlign w:val="center"/>
          </w:tcPr>
          <w:p>
            <w:pPr>
              <w:jc w:val="center"/>
              <w:rPr>
                <w:rFonts w:hint="eastAsia" w:ascii="宋体" w:hAnsi="宋体" w:cs="宋体"/>
                <w:szCs w:val="21"/>
              </w:rPr>
            </w:pPr>
            <w:r>
              <w:rPr>
                <w:rFonts w:hint="eastAsia" w:ascii="宋体" w:hAnsi="宋体" w:cs="宋体"/>
                <w:szCs w:val="21"/>
              </w:rPr>
              <w:t>工作内容</w:t>
            </w:r>
          </w:p>
        </w:tc>
        <w:tc>
          <w:tcPr>
            <w:tcW w:w="1747" w:type="dxa"/>
            <w:vAlign w:val="center"/>
          </w:tcPr>
          <w:p>
            <w:pPr>
              <w:jc w:val="center"/>
              <w:rPr>
                <w:rFonts w:hint="eastAsia" w:ascii="宋体" w:hAnsi="宋体" w:cs="宋体"/>
                <w:szCs w:val="21"/>
              </w:rPr>
            </w:pPr>
            <w:r>
              <w:rPr>
                <w:rFonts w:hint="eastAsia" w:ascii="宋体" w:hAnsi="宋体" w:cs="宋体"/>
                <w:szCs w:val="21"/>
              </w:rPr>
              <w:t>工期</w:t>
            </w:r>
          </w:p>
        </w:tc>
        <w:tc>
          <w:tcPr>
            <w:tcW w:w="2065" w:type="dxa"/>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37"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LM3-1</w:t>
            </w:r>
          </w:p>
        </w:tc>
        <w:tc>
          <w:tcPr>
            <w:tcW w:w="1922" w:type="dxa"/>
            <w:vAlign w:val="center"/>
          </w:tcPr>
          <w:p>
            <w:pPr>
              <w:jc w:val="center"/>
              <w:rPr>
                <w:rFonts w:hint="eastAsia" w:ascii="宋体" w:hAnsi="宋体" w:cs="宋体"/>
                <w:szCs w:val="21"/>
              </w:rPr>
            </w:pPr>
            <w:r>
              <w:rPr>
                <w:rFonts w:hint="eastAsia" w:ascii="宋体" w:hAnsi="宋体" w:cs="宋体"/>
                <w:szCs w:val="21"/>
              </w:rPr>
              <w:t>K51+165</w:t>
            </w:r>
            <w:r>
              <w:rPr>
                <w:rFonts w:hint="eastAsia" w:ascii="宋体" w:hAnsi="宋体" w:cs="宋体"/>
                <w:szCs w:val="21"/>
                <w:lang w:val="en-US" w:eastAsia="zh-CN"/>
              </w:rPr>
              <w:t>～</w:t>
            </w:r>
            <w:r>
              <w:rPr>
                <w:rFonts w:hint="eastAsia" w:ascii="宋体" w:hAnsi="宋体" w:cs="宋体"/>
                <w:szCs w:val="21"/>
              </w:rPr>
              <w:t>K78+323.273</w:t>
            </w:r>
          </w:p>
        </w:tc>
        <w:tc>
          <w:tcPr>
            <w:tcW w:w="4151" w:type="dxa"/>
            <w:vAlign w:val="center"/>
          </w:tcPr>
          <w:p>
            <w:pPr>
              <w:jc w:val="left"/>
              <w:rPr>
                <w:rFonts w:hint="eastAsia" w:ascii="宋体" w:hAnsi="宋体" w:cs="宋体"/>
                <w:szCs w:val="21"/>
              </w:rPr>
            </w:pPr>
            <w:r>
              <w:rPr>
                <w:rFonts w:hint="eastAsia" w:asciiTheme="minorEastAsia" w:hAnsiTheme="minorEastAsia" w:eastAsiaTheme="minorEastAsia" w:cstheme="minorEastAsia"/>
                <w:color w:val="auto"/>
                <w:kern w:val="0"/>
                <w:sz w:val="20"/>
                <w:szCs w:val="20"/>
                <w:highlight w:val="none"/>
                <w:lang w:val="en-US" w:eastAsia="zh-CN" w:bidi="ar"/>
              </w:rPr>
              <w:t>项目驻地、民工驻地、热拌站、</w:t>
            </w:r>
            <w:r>
              <w:rPr>
                <w:rFonts w:ascii="宋体" w:hAnsi="宋体" w:cs="宋体"/>
                <w:color w:val="000000"/>
                <w:sz w:val="20"/>
              </w:rPr>
              <w:t>1#</w:t>
            </w:r>
            <w:r>
              <w:rPr>
                <w:rFonts w:hint="eastAsia" w:ascii="宋体" w:hAnsi="宋体" w:cs="宋体"/>
                <w:color w:val="000000"/>
                <w:sz w:val="20"/>
              </w:rPr>
              <w:t>冷拌站</w:t>
            </w:r>
            <w:r>
              <w:rPr>
                <w:rFonts w:hint="eastAsia" w:ascii="宋体" w:hAnsi="宋体" w:cs="宋体"/>
                <w:color w:val="000000"/>
                <w:sz w:val="20"/>
                <w:lang w:val="en-US" w:eastAsia="zh-CN"/>
              </w:rPr>
              <w:t>、2#冷拌站</w:t>
            </w:r>
          </w:p>
        </w:tc>
        <w:tc>
          <w:tcPr>
            <w:tcW w:w="1853" w:type="dxa"/>
            <w:vAlign w:val="center"/>
          </w:tcPr>
          <w:p>
            <w:pPr>
              <w:jc w:val="center"/>
              <w:rPr>
                <w:rFonts w:hint="default" w:ascii="宋体" w:hAnsi="宋体" w:eastAsia="宋体" w:cs="宋体"/>
                <w:szCs w:val="21"/>
                <w:lang w:val="en-US" w:eastAsia="zh-CN"/>
              </w:rPr>
            </w:pPr>
            <w:r>
              <w:rPr>
                <w:rFonts w:hint="eastAsia" w:asciiTheme="minorEastAsia" w:hAnsiTheme="minorEastAsia" w:eastAsiaTheme="minorEastAsia" w:cstheme="minorEastAsia"/>
                <w:color w:val="auto"/>
                <w:kern w:val="0"/>
                <w:sz w:val="20"/>
                <w:szCs w:val="20"/>
                <w:highlight w:val="none"/>
                <w:lang w:val="en-US" w:eastAsia="zh-CN" w:bidi="ar"/>
              </w:rPr>
              <w:t>项目驻地、民工驻地、热拌站、</w:t>
            </w:r>
            <w:r>
              <w:rPr>
                <w:rFonts w:ascii="宋体" w:hAnsi="宋体" w:cs="宋体"/>
                <w:color w:val="000000"/>
                <w:sz w:val="20"/>
              </w:rPr>
              <w:t>1#</w:t>
            </w:r>
            <w:r>
              <w:rPr>
                <w:rFonts w:hint="eastAsia" w:ascii="宋体" w:hAnsi="宋体" w:cs="宋体"/>
                <w:color w:val="000000"/>
                <w:sz w:val="20"/>
              </w:rPr>
              <w:t>冷拌站</w:t>
            </w:r>
            <w:r>
              <w:rPr>
                <w:rFonts w:hint="eastAsia" w:ascii="宋体" w:hAnsi="宋体" w:cs="宋体"/>
                <w:color w:val="000000"/>
                <w:sz w:val="20"/>
                <w:lang w:val="en-US" w:eastAsia="zh-CN"/>
              </w:rPr>
              <w:t>、2#冷拌站等临建工程等土建部分的规划实施</w:t>
            </w:r>
          </w:p>
        </w:tc>
        <w:tc>
          <w:tcPr>
            <w:tcW w:w="1747" w:type="dxa"/>
            <w:vAlign w:val="center"/>
          </w:tcPr>
          <w:p>
            <w:pPr>
              <w:jc w:val="cente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个月(最终以招标人要求为准)</w:t>
            </w:r>
          </w:p>
        </w:tc>
        <w:tc>
          <w:tcPr>
            <w:tcW w:w="2065" w:type="dxa"/>
            <w:vAlign w:val="center"/>
          </w:tcPr>
          <w:p>
            <w:pPr>
              <w:jc w:val="left"/>
              <w:rPr>
                <w:rFonts w:hint="eastAsia" w:ascii="宋体" w:hAnsi="宋体" w:cs="宋体"/>
                <w:szCs w:val="21"/>
              </w:rPr>
            </w:pPr>
            <w:r>
              <w:rPr>
                <w:rFonts w:hint="eastAsia" w:ascii="宋体" w:hAnsi="宋体" w:cs="宋体"/>
                <w:szCs w:val="21"/>
              </w:rPr>
              <w:t>本次招标工程数量和施工段落划分根据</w:t>
            </w:r>
            <w:r>
              <w:rPr>
                <w:rFonts w:hint="eastAsia" w:ascii="宋体" w:hAnsi="宋体" w:cs="宋体"/>
                <w:szCs w:val="21"/>
                <w:lang w:val="en-US" w:eastAsia="zh-CN"/>
              </w:rPr>
              <w:t>为</w:t>
            </w:r>
            <w:r>
              <w:rPr>
                <w:rFonts w:hint="eastAsia" w:ascii="宋体" w:hAnsi="宋体" w:cs="宋体"/>
                <w:szCs w:val="21"/>
              </w:rPr>
              <w:t>暂定。</w:t>
            </w:r>
          </w:p>
        </w:tc>
      </w:tr>
    </w:tbl>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b w:val="0"/>
          <w:bCs/>
          <w:color w:val="auto"/>
          <w:sz w:val="28"/>
          <w:szCs w:val="28"/>
          <w:highlight w:val="none"/>
        </w:rPr>
      </w:pPr>
    </w:p>
    <w:p>
      <w:pPr>
        <w:rPr>
          <w:rFonts w:hint="eastAsia" w:ascii="宋体" w:hAnsi="宋体" w:eastAsia="宋体" w:cs="宋体"/>
          <w:b w:val="0"/>
          <w:bCs/>
          <w:color w:val="auto"/>
          <w:sz w:val="28"/>
          <w:szCs w:val="28"/>
          <w:highlight w:val="none"/>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
      <w:pPr>
        <w:pStyle w:val="2"/>
        <w:ind w:firstLine="0"/>
        <w:jc w:val="center"/>
        <w:rPr>
          <w:rFonts w:hint="eastAsia" w:ascii="仿宋" w:hAnsi="仿宋" w:eastAsia="仿宋" w:cs="仿宋"/>
          <w:b/>
          <w:bCs/>
          <w:color w:val="auto"/>
          <w:sz w:val="28"/>
          <w:szCs w:val="28"/>
          <w:highlight w:val="none"/>
        </w:rPr>
      </w:pPr>
      <w:r>
        <w:rPr>
          <w:rFonts w:hint="eastAsia" w:cs="仿宋"/>
          <w:b/>
          <w:bCs/>
          <w:color w:val="auto"/>
          <w:sz w:val="28"/>
          <w:szCs w:val="28"/>
          <w:highlight w:val="none"/>
          <w:lang w:val="en-US" w:eastAsia="zh-CN"/>
        </w:rPr>
        <w:t>德昌至会理高速公路LM3标段临建工程劳务合作项目</w:t>
      </w:r>
      <w:r>
        <w:rPr>
          <w:rFonts w:hint="eastAsia" w:ascii="仿宋" w:hAnsi="仿宋" w:eastAsia="仿宋" w:cs="仿宋"/>
          <w:b/>
          <w:bCs/>
          <w:color w:val="auto"/>
          <w:sz w:val="28"/>
          <w:szCs w:val="28"/>
          <w:highlight w:val="none"/>
        </w:rPr>
        <w:t>施工企业资质等级要求</w:t>
      </w:r>
      <w:r>
        <w:rPr>
          <w:rFonts w:hint="eastAsia" w:ascii="仿宋" w:hAnsi="仿宋" w:eastAsia="仿宋" w:cs="仿宋"/>
          <w:b/>
          <w:bCs/>
          <w:color w:val="auto"/>
          <w:sz w:val="28"/>
          <w:szCs w:val="28"/>
          <w:highlight w:val="none"/>
          <w:lang w:eastAsia="zh-CN"/>
        </w:rPr>
        <w:t>、业绩基本</w:t>
      </w:r>
      <w:r>
        <w:rPr>
          <w:rFonts w:hint="eastAsia" w:ascii="仿宋" w:hAnsi="仿宋" w:eastAsia="仿宋" w:cs="仿宋"/>
          <w:b/>
          <w:bCs/>
          <w:color w:val="auto"/>
          <w:sz w:val="28"/>
          <w:szCs w:val="28"/>
          <w:highlight w:val="none"/>
        </w:rPr>
        <w:t>要求</w:t>
      </w:r>
    </w:p>
    <w:p>
      <w:pPr>
        <w:rPr>
          <w:rFonts w:hint="eastAsia"/>
        </w:rPr>
      </w:pPr>
    </w:p>
    <w:tbl>
      <w:tblPr>
        <w:tblStyle w:val="6"/>
        <w:tblpPr w:leftFromText="180" w:rightFromText="180" w:vertAnchor="text" w:horzAnchor="page" w:tblpX="1280" w:tblpY="89"/>
        <w:tblOverlap w:val="never"/>
        <w:tblW w:w="13865" w:type="dxa"/>
        <w:jc w:val="center"/>
        <w:tblLayout w:type="fixed"/>
        <w:tblCellMar>
          <w:top w:w="0" w:type="dxa"/>
          <w:left w:w="0" w:type="dxa"/>
          <w:bottom w:w="0" w:type="dxa"/>
          <w:right w:w="0" w:type="dxa"/>
        </w:tblCellMar>
      </w:tblPr>
      <w:tblGrid>
        <w:gridCol w:w="527"/>
        <w:gridCol w:w="1417"/>
        <w:gridCol w:w="2038"/>
        <w:gridCol w:w="3822"/>
        <w:gridCol w:w="4952"/>
        <w:gridCol w:w="1109"/>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序号</w:t>
            </w:r>
          </w:p>
        </w:tc>
        <w:tc>
          <w:tcPr>
            <w:tcW w:w="14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分段名称</w:t>
            </w:r>
          </w:p>
        </w:tc>
        <w:tc>
          <w:tcPr>
            <w:tcW w:w="203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特征</w:t>
            </w:r>
          </w:p>
        </w:tc>
        <w:tc>
          <w:tcPr>
            <w:tcW w:w="382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施工企业资质等级要求</w:t>
            </w:r>
          </w:p>
        </w:tc>
        <w:tc>
          <w:tcPr>
            <w:tcW w:w="49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业绩基本要求</w:t>
            </w:r>
          </w:p>
        </w:tc>
        <w:tc>
          <w:tcPr>
            <w:tcW w:w="11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p>
        </w:tc>
        <w:tc>
          <w:tcPr>
            <w:tcW w:w="14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p>
        </w:tc>
        <w:tc>
          <w:tcPr>
            <w:tcW w:w="203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p>
        </w:tc>
        <w:tc>
          <w:tcPr>
            <w:tcW w:w="382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p>
        </w:tc>
        <w:tc>
          <w:tcPr>
            <w:tcW w:w="49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p>
        </w:tc>
        <w:tc>
          <w:tcPr>
            <w:tcW w:w="11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p>
        </w:tc>
      </w:tr>
      <w:tr>
        <w:tblPrEx>
          <w:tblCellMar>
            <w:top w:w="0" w:type="dxa"/>
            <w:left w:w="0" w:type="dxa"/>
            <w:bottom w:w="0" w:type="dxa"/>
            <w:right w:w="0" w:type="dxa"/>
          </w:tblCellMar>
        </w:tblPrEx>
        <w:trPr>
          <w:trHeight w:val="2702"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LM3-1</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项目驻地、民工驻地、热拌站、</w:t>
            </w:r>
            <w:r>
              <w:rPr>
                <w:rFonts w:ascii="宋体" w:hAnsi="宋体" w:cs="宋体"/>
                <w:color w:val="000000"/>
                <w:sz w:val="20"/>
              </w:rPr>
              <w:t>1#</w:t>
            </w:r>
            <w:r>
              <w:rPr>
                <w:rFonts w:hint="eastAsia" w:ascii="宋体" w:hAnsi="宋体" w:cs="宋体"/>
                <w:color w:val="000000"/>
                <w:sz w:val="20"/>
              </w:rPr>
              <w:t>冷拌站</w:t>
            </w:r>
            <w:r>
              <w:rPr>
                <w:rFonts w:hint="eastAsia" w:ascii="宋体" w:hAnsi="宋体" w:cs="宋体"/>
                <w:color w:val="000000"/>
                <w:sz w:val="20"/>
                <w:lang w:eastAsia="zh-CN"/>
              </w:rPr>
              <w:t>、</w:t>
            </w:r>
            <w:r>
              <w:rPr>
                <w:rFonts w:hint="eastAsia" w:ascii="宋体" w:hAnsi="宋体" w:cs="宋体"/>
                <w:color w:val="000000"/>
                <w:sz w:val="20"/>
                <w:lang w:val="en-US" w:eastAsia="zh-CN"/>
              </w:rPr>
              <w:t>2#冷拌站、</w:t>
            </w:r>
            <w:r>
              <w:rPr>
                <w:rFonts w:hint="eastAsia" w:asciiTheme="minorEastAsia" w:hAnsiTheme="minorEastAsia" w:eastAsiaTheme="minorEastAsia" w:cstheme="minorEastAsia"/>
                <w:color w:val="auto"/>
                <w:kern w:val="0"/>
                <w:sz w:val="20"/>
                <w:szCs w:val="20"/>
                <w:highlight w:val="none"/>
                <w:lang w:val="en-US" w:eastAsia="zh-CN" w:bidi="ar"/>
              </w:rPr>
              <w:t>临建工程土建部分</w:t>
            </w:r>
          </w:p>
        </w:tc>
        <w:tc>
          <w:tcPr>
            <w:tcW w:w="38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具有政府主管部门颁布的公路工程施工总承包三级及以上资质或劳务施工不等等级资质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0"/>
                <w:szCs w:val="20"/>
                <w:highlight w:val="none"/>
                <w:lang w:val="en-US" w:eastAsia="zh-CN" w:bidi="ar"/>
              </w:rPr>
            </w:pPr>
            <w:r>
              <w:rPr>
                <w:rFonts w:hint="eastAsia" w:asciiTheme="minorEastAsia" w:hAnsiTheme="minorEastAsia" w:eastAsiaTheme="minorEastAsia" w:cstheme="minorEastAsia"/>
                <w:color w:val="auto"/>
                <w:kern w:val="0"/>
                <w:sz w:val="20"/>
                <w:szCs w:val="20"/>
                <w:highlight w:val="none"/>
                <w:lang w:val="en-US" w:eastAsia="zh-CN" w:bidi="ar"/>
              </w:rPr>
              <w:t>五年内（2016年12月1日至今，以提供的合同协议书复印件或相关证明材料为准）完成类似的劳务合作工程项目施工业绩1个及以上。</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0"/>
                <w:szCs w:val="20"/>
                <w:highlight w:val="none"/>
                <w:lang w:val="en-US" w:eastAsia="zh-CN" w:bidi="ar"/>
              </w:rPr>
            </w:pPr>
          </w:p>
        </w:tc>
      </w:tr>
    </w:tbl>
    <w:p>
      <w:pPr>
        <w:pStyle w:val="2"/>
        <w:ind w:left="0" w:leftChars="0" w:firstLine="0" w:firstLineChars="0"/>
        <w:rPr>
          <w:rFonts w:ascii="宋体" w:hAnsi="宋体" w:cs="宋体"/>
          <w:b/>
          <w:color w:val="auto"/>
          <w:sz w:val="32"/>
          <w:szCs w:val="32"/>
          <w:highlight w:val="none"/>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仿宋" w:hAnsi="仿宋" w:eastAsia="仿宋" w:cs="仿宋"/>
                <w:b/>
                <w:color w:val="000000"/>
                <w:kern w:val="0"/>
                <w:sz w:val="28"/>
                <w:szCs w:val="28"/>
                <w:lang w:val="en-US" w:eastAsia="zh-CN" w:bidi="ar"/>
              </w:rPr>
            </w:pPr>
            <w:r>
              <w:rPr>
                <w:rFonts w:hint="eastAsia" w:ascii="仿宋" w:hAnsi="仿宋" w:eastAsia="仿宋" w:cs="仿宋"/>
                <w:b/>
                <w:color w:val="000000"/>
                <w:kern w:val="0"/>
                <w:sz w:val="28"/>
                <w:szCs w:val="28"/>
                <w:lang w:val="en-US" w:eastAsia="zh-CN" w:bidi="ar"/>
              </w:rPr>
              <w:t>德昌至会理高速公路LM3标段临建工程劳务合作项目</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仿宋" w:hAnsi="仿宋" w:eastAsia="仿宋" w:cs="仿宋"/>
                <w:b/>
                <w:color w:val="000000"/>
                <w:kern w:val="0"/>
                <w:sz w:val="28"/>
                <w:szCs w:val="28"/>
                <w:lang w:val="en-US" w:eastAsia="zh-CN" w:bidi="ar"/>
              </w:rPr>
            </w:pPr>
            <w:r>
              <w:rPr>
                <w:rFonts w:hint="eastAsia" w:ascii="仿宋" w:hAnsi="仿宋" w:eastAsia="仿宋" w:cs="仿宋"/>
                <w:b/>
                <w:color w:val="000000"/>
                <w:kern w:val="0"/>
                <w:sz w:val="28"/>
                <w:szCs w:val="28"/>
                <w:lang w:bidi="ar"/>
              </w:rPr>
              <w:t>拟投入人员</w:t>
            </w:r>
            <w:r>
              <w:rPr>
                <w:rFonts w:hint="eastAsia" w:ascii="仿宋" w:hAnsi="仿宋" w:eastAsia="仿宋" w:cs="仿宋"/>
                <w:b/>
                <w:color w:val="000000"/>
                <w:kern w:val="0"/>
                <w:sz w:val="28"/>
                <w:szCs w:val="28"/>
                <w:lang w:val="en-US" w:eastAsia="zh-CN" w:bidi="ar"/>
              </w:rPr>
              <w:t>配置表</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color w:val="000000"/>
                <w:kern w:val="0"/>
                <w:sz w:val="28"/>
                <w:szCs w:val="28"/>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人员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牵头负责项目施工全面工作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eastAsiaTheme="minorEastAsia" w:cstheme="minorEastAsia"/>
                <w:kern w:val="0"/>
                <w:sz w:val="21"/>
                <w:szCs w:val="21"/>
                <w:lang w:bidi="ar"/>
              </w:rPr>
              <w:t>在1个类似项目担任项目负责人或项目技术负责人</w:t>
            </w:r>
            <w:r>
              <w:rPr>
                <w:rFonts w:hint="eastAsia" w:asciiTheme="minorEastAsia" w:hAnsiTheme="minorEastAsia" w:eastAsiaTheme="minorEastAsia" w:cstheme="minorEastAsia"/>
                <w:kern w:val="0"/>
                <w:sz w:val="21"/>
                <w:szCs w:val="21"/>
                <w:lang w:eastAsia="zh-CN" w:bidi="ar"/>
              </w:rPr>
              <w:t>，</w:t>
            </w:r>
            <w:r>
              <w:rPr>
                <w:rFonts w:hint="eastAsia" w:asciiTheme="minorEastAsia" w:hAnsiTheme="minorEastAsia" w:eastAsiaTheme="minorEastAsia" w:cstheme="minorEastAsia"/>
                <w:kern w:val="0"/>
                <w:sz w:val="21"/>
                <w:szCs w:val="21"/>
                <w:u w:val="single"/>
                <w:lang w:bidi="ar"/>
              </w:rPr>
              <w:t>工作经验出具相关证明材料</w:t>
            </w:r>
            <w:r>
              <w:rPr>
                <w:rFonts w:hint="eastAsia" w:asciiTheme="minorEastAsia" w:hAnsiTheme="minorEastAsia" w:eastAsiaTheme="minorEastAsia" w:cstheme="minorEastAsia"/>
                <w:kern w:val="0"/>
                <w:sz w:val="21"/>
                <w:szCs w:val="21"/>
                <w:u w:val="singl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协助项目负责人负责项目进度、技术、质量等工作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eastAsiaTheme="minorEastAsia" w:cstheme="minorEastAsia"/>
                <w:kern w:val="0"/>
                <w:sz w:val="21"/>
                <w:szCs w:val="21"/>
                <w:lang w:bidi="ar"/>
              </w:rPr>
              <w:t>在1个类似项目担任项目负责人或项目技术负责人</w:t>
            </w:r>
            <w:r>
              <w:rPr>
                <w:rFonts w:hint="eastAsia" w:asciiTheme="minorEastAsia" w:hAnsiTheme="minorEastAsia" w:eastAsiaTheme="minorEastAsia" w:cstheme="minorEastAsia"/>
                <w:kern w:val="0"/>
                <w:sz w:val="21"/>
                <w:szCs w:val="21"/>
                <w:lang w:eastAsia="zh-CN" w:bidi="ar"/>
              </w:rPr>
              <w:t>，</w:t>
            </w:r>
            <w:r>
              <w:rPr>
                <w:rFonts w:hint="eastAsia" w:asciiTheme="minorEastAsia" w:hAnsiTheme="minorEastAsia" w:eastAsiaTheme="minorEastAsia" w:cstheme="minorEastAsia"/>
                <w:kern w:val="0"/>
                <w:sz w:val="21"/>
                <w:szCs w:val="21"/>
                <w:u w:val="single"/>
                <w:lang w:bidi="ar"/>
              </w:rPr>
              <w:t>工作经验出具相关证明材料</w:t>
            </w:r>
            <w:r>
              <w:rPr>
                <w:rFonts w:hint="eastAsia" w:asciiTheme="minorEastAsia" w:hAnsiTheme="minorEastAsia" w:eastAsiaTheme="minorEastAsia" w:cstheme="minorEastAsia"/>
                <w:kern w:val="0"/>
                <w:sz w:val="21"/>
                <w:szCs w:val="21"/>
                <w:u w:val="singl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安全负责人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r>
              <w:rPr>
                <w:rFonts w:hint="eastAsia" w:asciiTheme="minorEastAsia" w:hAnsiTheme="minorEastAsia" w:eastAsiaTheme="minorEastAsia" w:cstheme="minorEastAsia"/>
                <w:i w:val="0"/>
                <w:color w:val="auto"/>
                <w:kern w:val="0"/>
                <w:sz w:val="21"/>
                <w:szCs w:val="21"/>
                <w:highlight w:val="none"/>
                <w:u w:val="none"/>
                <w:lang w:val="en-US" w:eastAsia="zh-CN" w:bidi="ar"/>
              </w:rPr>
              <w:t>负责现场安全、安全交底、安全检查</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1"/>
                <w:szCs w:val="21"/>
                <w:highlight w:val="none"/>
                <w:u w:val="none"/>
                <w:lang w:eastAsia="zh-CN"/>
              </w:rPr>
            </w:pPr>
            <w:r>
              <w:rPr>
                <w:rFonts w:hint="eastAsia" w:asciiTheme="minorEastAsia" w:hAnsiTheme="minorEastAsia" w:eastAsiaTheme="minorEastAsia" w:cstheme="minorEastAsia"/>
                <w:i w:val="0"/>
                <w:color w:val="auto"/>
                <w:sz w:val="21"/>
                <w:szCs w:val="21"/>
                <w:highlight w:val="none"/>
                <w:u w:val="none"/>
                <w:lang w:val="en-US" w:eastAsia="zh-CN"/>
              </w:rPr>
              <w:t>持安全C证以及相关工作经验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4</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现场技术员</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eastAsia="宋体" w:asciiTheme="minorEastAsia" w:hAnsiTheme="minorEastAsia" w:cstheme="minorEastAsia"/>
                <w:i w:val="0"/>
                <w:color w:val="auto"/>
                <w:kern w:val="0"/>
                <w:sz w:val="21"/>
                <w:szCs w:val="21"/>
                <w:highlight w:val="none"/>
                <w:u w:val="none"/>
                <w:lang w:val="en-US" w:eastAsia="zh-CN" w:bidi="ar"/>
              </w:rPr>
            </w:pPr>
            <w:r>
              <w:rPr>
                <w:rFonts w:hint="eastAsia" w:ascii="宋体" w:hAnsi="宋体" w:cs="宋体"/>
                <w:kern w:val="0"/>
                <w:szCs w:val="21"/>
                <w:lang w:bidi="ar"/>
              </w:rPr>
              <w:t>负责现场测量、放线工作</w:t>
            </w:r>
            <w:r>
              <w:rPr>
                <w:rFonts w:hint="eastAsia" w:ascii="宋体" w:hAnsi="宋体" w:cs="宋体"/>
                <w:kern w:val="0"/>
                <w:szCs w:val="21"/>
                <w:lang w:eastAsia="zh-CN" w:bidi="ar"/>
              </w:rPr>
              <w:t>、</w:t>
            </w:r>
            <w:r>
              <w:rPr>
                <w:rFonts w:hint="eastAsia" w:ascii="宋体" w:hAnsi="宋体" w:cs="宋体"/>
                <w:kern w:val="0"/>
                <w:szCs w:val="21"/>
                <w:lang w:bidi="ar"/>
              </w:rPr>
              <w:t>内业工作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1"/>
                <w:szCs w:val="21"/>
                <w:highlight w:val="none"/>
                <w:u w:val="none"/>
                <w:lang w:eastAsia="zh-CN"/>
              </w:rPr>
            </w:pPr>
            <w:r>
              <w:rPr>
                <w:rFonts w:hint="eastAsia" w:ascii="宋体" w:hAnsi="宋体" w:cs="宋体"/>
                <w:kern w:val="0"/>
                <w:szCs w:val="21"/>
                <w:lang w:bidi="ar"/>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自行更换主要负责人的，对投标人按每人次课以50万元人民币违约金。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8768B"/>
    <w:rsid w:val="07E70876"/>
    <w:rsid w:val="1B5876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Normal Indent"/>
    <w:basedOn w:val="1"/>
    <w:uiPriority w:val="0"/>
    <w:pPr>
      <w:ind w:firstLine="420" w:firstLineChars="200"/>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四川省交通建设集团股份有限公司</Company>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2021-12-21T09:22:00Z</dcterms:created>
  <dc:creator>WwxX</dc:creator>
  <cp:lastModifiedBy>WwxX</cp:lastModifiedBy>
  <dcterms:modified xsi:type="dcterms:W3CDTF">2021-12-21T09:23:13Z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7171026D78894806BE9AE2BA2ED08285</vt:lpwstr>
  </property>
</Properties>
</file>