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hAnsi="宋体" w:cs="宋体"/>
          <w:b/>
          <w:bCs/>
          <w:kern w:val="0"/>
          <w:sz w:val="28"/>
          <w:szCs w:val="28"/>
          <w:lang w:val="en-US" w:eastAsia="zh-CN"/>
        </w:rPr>
      </w:pPr>
      <w:bookmarkStart w:id="10" w:name="_GoBack"/>
      <w:bookmarkEnd w:id="10"/>
      <w:r>
        <w:rPr>
          <w:rFonts w:hint="eastAsia" w:hAnsi="宋体" w:cs="宋体"/>
          <w:b/>
          <w:bCs/>
          <w:kern w:val="0"/>
          <w:sz w:val="28"/>
          <w:szCs w:val="28"/>
          <w:lang w:val="en-US" w:eastAsia="zh-CN"/>
        </w:rPr>
        <w:t>附表一</w:t>
      </w:r>
    </w:p>
    <w:p>
      <w:pPr>
        <w:pStyle w:val="2"/>
        <w:ind w:firstLine="0"/>
        <w:jc w:val="center"/>
        <w:rPr>
          <w:rFonts w:hint="eastAsia" w:ascii="仿宋" w:hAnsi="仿宋" w:eastAsia="仿宋" w:cs="仿宋"/>
          <w:b/>
          <w:bCs/>
          <w:color w:val="auto"/>
          <w:sz w:val="32"/>
          <w:szCs w:val="32"/>
          <w:highlight w:val="none"/>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C2合同段变电站及10KV主线运行、维护、维修服务项目</w:t>
      </w:r>
      <w:r>
        <w:rPr>
          <w:rFonts w:hint="eastAsia" w:ascii="仿宋" w:hAnsi="仿宋" w:eastAsia="仿宋" w:cs="仿宋"/>
          <w:b/>
          <w:bCs/>
          <w:color w:val="auto"/>
          <w:sz w:val="32"/>
          <w:szCs w:val="32"/>
          <w:highlight w:val="none"/>
        </w:rPr>
        <w:t>工程规模、工期统计表</w:t>
      </w:r>
    </w:p>
    <w:p>
      <w:pPr>
        <w:spacing w:line="360" w:lineRule="auto"/>
        <w:ind w:firstLine="0" w:firstLineChars="0"/>
        <w:rPr>
          <w:rFonts w:hint="eastAsia" w:hAnsi="宋体" w:cs="宋体"/>
          <w:kern w:val="0"/>
          <w:sz w:val="24"/>
          <w:szCs w:val="24"/>
        </w:rPr>
      </w:pPr>
    </w:p>
    <w:tbl>
      <w:tblPr>
        <w:tblStyle w:val="16"/>
        <w:tblW w:w="13707" w:type="dxa"/>
        <w:tblInd w:w="0" w:type="dxa"/>
        <w:tblLayout w:type="fixed"/>
        <w:tblCellMar>
          <w:top w:w="0" w:type="dxa"/>
          <w:left w:w="0" w:type="dxa"/>
          <w:bottom w:w="0" w:type="dxa"/>
          <w:right w:w="0" w:type="dxa"/>
        </w:tblCellMar>
      </w:tblPr>
      <w:tblGrid>
        <w:gridCol w:w="957"/>
        <w:gridCol w:w="1320"/>
        <w:gridCol w:w="2175"/>
        <w:gridCol w:w="3105"/>
        <w:gridCol w:w="3000"/>
        <w:gridCol w:w="1215"/>
        <w:gridCol w:w="1935"/>
      </w:tblGrid>
      <w:tr>
        <w:tblPrEx>
          <w:tblCellMar>
            <w:top w:w="0" w:type="dxa"/>
            <w:left w:w="0" w:type="dxa"/>
            <w:bottom w:w="0" w:type="dxa"/>
            <w:right w:w="0" w:type="dxa"/>
          </w:tblCellMar>
        </w:tblPrEx>
        <w:trPr>
          <w:trHeight w:val="1133" w:hRule="atLeast"/>
        </w:trPr>
        <w:tc>
          <w:tcPr>
            <w:tcW w:w="957"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序号</w:t>
            </w:r>
          </w:p>
        </w:tc>
        <w:tc>
          <w:tcPr>
            <w:tcW w:w="132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18"/>
                <w:szCs w:val="18"/>
                <w:lang w:eastAsia="zh-CN"/>
              </w:rPr>
            </w:pPr>
            <w:r>
              <w:rPr>
                <w:rFonts w:hint="eastAsia" w:ascii="宋体" w:hAnsi="宋体" w:eastAsia="宋体" w:cs="宋体"/>
                <w:b/>
                <w:bCs/>
                <w:kern w:val="0"/>
                <w:sz w:val="18"/>
                <w:szCs w:val="18"/>
                <w:lang w:val="en-US" w:eastAsia="zh-CN" w:bidi="ar"/>
              </w:rPr>
              <w:t>标段</w:t>
            </w:r>
          </w:p>
        </w:tc>
        <w:tc>
          <w:tcPr>
            <w:tcW w:w="217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工程</w:t>
            </w:r>
            <w:r>
              <w:rPr>
                <w:rFonts w:hint="eastAsia" w:ascii="宋体" w:hAnsi="宋体" w:eastAsia="宋体" w:cs="宋体"/>
                <w:b/>
                <w:bCs/>
                <w:kern w:val="0"/>
                <w:sz w:val="18"/>
                <w:szCs w:val="18"/>
                <w:lang w:bidi="ar"/>
              </w:rPr>
              <w:t>服务</w:t>
            </w:r>
          </w:p>
          <w:p>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内容</w:t>
            </w:r>
          </w:p>
        </w:tc>
        <w:tc>
          <w:tcPr>
            <w:tcW w:w="310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default" w:ascii="宋体" w:hAnsi="宋体" w:eastAsia="宋体" w:cs="宋体"/>
                <w:b/>
                <w:bCs/>
                <w:sz w:val="18"/>
                <w:szCs w:val="18"/>
                <w:lang w:val="en-US" w:eastAsia="zh-CN"/>
              </w:rPr>
            </w:pPr>
            <w:r>
              <w:rPr>
                <w:rFonts w:hint="eastAsia" w:ascii="宋体" w:hAnsi="宋体" w:cs="宋体"/>
                <w:b/>
                <w:bCs/>
                <w:kern w:val="0"/>
                <w:sz w:val="18"/>
                <w:szCs w:val="18"/>
                <w:lang w:val="en-US" w:eastAsia="zh-CN" w:bidi="ar"/>
              </w:rPr>
              <w:t>变电站所在位置</w:t>
            </w:r>
          </w:p>
        </w:tc>
        <w:tc>
          <w:tcPr>
            <w:tcW w:w="3000"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隶属分部</w:t>
            </w:r>
          </w:p>
        </w:tc>
        <w:tc>
          <w:tcPr>
            <w:tcW w:w="121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工期</w:t>
            </w:r>
          </w:p>
        </w:tc>
        <w:tc>
          <w:tcPr>
            <w:tcW w:w="1935" w:type="dxa"/>
            <w:tcBorders>
              <w:top w:val="single" w:color="000000" w:themeColor="text1" w:sz="2" w:space="0"/>
              <w:left w:val="single" w:color="000000" w:themeColor="text1" w:sz="2" w:space="0"/>
              <w:bottom w:val="single" w:color="000000" w:themeColor="text1" w:sz="2" w:space="0"/>
              <w:right w:val="single" w:color="000000" w:themeColor="text1" w:sz="2" w:space="0"/>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备注</w:t>
            </w:r>
          </w:p>
        </w:tc>
      </w:tr>
      <w:tr>
        <w:tblPrEx>
          <w:tblCellMar>
            <w:top w:w="0" w:type="dxa"/>
            <w:left w:w="0" w:type="dxa"/>
            <w:bottom w:w="0" w:type="dxa"/>
            <w:right w:w="0" w:type="dxa"/>
          </w:tblCellMar>
        </w:tblPrEx>
        <w:trPr>
          <w:trHeight w:val="1027" w:hRule="atLeast"/>
        </w:trPr>
        <w:tc>
          <w:tcPr>
            <w:tcW w:w="957"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1320"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运管</w:t>
            </w:r>
          </w:p>
        </w:tc>
        <w:tc>
          <w:tcPr>
            <w:tcW w:w="2175"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kern w:val="0"/>
                <w:szCs w:val="21"/>
                <w:lang w:val="en-US" w:bidi="ar"/>
              </w:rPr>
            </w:pPr>
            <w:r>
              <w:rPr>
                <w:rFonts w:hint="eastAsia" w:ascii="宋体" w:hAnsi="宋体" w:cs="宋体"/>
                <w:kern w:val="0"/>
                <w:szCs w:val="21"/>
                <w:lang w:bidi="ar"/>
              </w:rPr>
              <w:t>K44+500～K1</w:t>
            </w:r>
            <w:r>
              <w:rPr>
                <w:rFonts w:hint="eastAsia" w:ascii="宋体" w:hAnsi="宋体" w:cs="宋体"/>
                <w:kern w:val="0"/>
                <w:szCs w:val="21"/>
                <w:lang w:val="en-US" w:eastAsia="zh-CN" w:bidi="ar"/>
              </w:rPr>
              <w:t>40</w:t>
            </w:r>
            <w:r>
              <w:rPr>
                <w:rFonts w:hint="eastAsia" w:ascii="宋体" w:hAnsi="宋体" w:cs="宋体"/>
                <w:kern w:val="0"/>
                <w:szCs w:val="21"/>
                <w:lang w:bidi="ar"/>
              </w:rPr>
              <w:t>+</w:t>
            </w:r>
            <w:r>
              <w:rPr>
                <w:rFonts w:hint="eastAsia" w:ascii="宋体" w:hAnsi="宋体" w:cs="宋体"/>
                <w:kern w:val="0"/>
                <w:szCs w:val="21"/>
                <w:lang w:val="en-US" w:eastAsia="zh-CN" w:bidi="ar"/>
              </w:rPr>
              <w:t>261</w:t>
            </w:r>
            <w:r>
              <w:rPr>
                <w:rFonts w:hint="eastAsia" w:ascii="宋体" w:hAnsi="宋体" w:cs="宋体"/>
                <w:kern w:val="0"/>
                <w:szCs w:val="21"/>
                <w:lang w:bidi="ar"/>
              </w:rPr>
              <w:t>段范围内</w:t>
            </w:r>
            <w:r>
              <w:rPr>
                <w:rFonts w:hint="eastAsia" w:ascii="宋体" w:hAnsi="宋体" w:cs="宋体"/>
                <w:kern w:val="0"/>
                <w:szCs w:val="21"/>
                <w:lang w:val="en-US" w:eastAsia="zh-CN" w:bidi="ar"/>
              </w:rPr>
              <w:t>变电站运营维护工程</w:t>
            </w:r>
          </w:p>
        </w:tc>
        <w:tc>
          <w:tcPr>
            <w:tcW w:w="3105" w:type="dxa"/>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K</w:t>
            </w:r>
            <w:r>
              <w:rPr>
                <w:rFonts w:hint="eastAsia" w:ascii="宋体" w:hAnsi="宋体" w:cs="宋体"/>
                <w:kern w:val="0"/>
                <w:szCs w:val="21"/>
                <w:lang w:val="en-US" w:eastAsia="zh-CN" w:bidi="ar"/>
              </w:rPr>
              <w:t>53</w:t>
            </w:r>
            <w:r>
              <w:rPr>
                <w:rFonts w:hint="eastAsia" w:ascii="宋体" w:hAnsi="宋体" w:cs="宋体"/>
                <w:kern w:val="0"/>
                <w:szCs w:val="21"/>
                <w:lang w:bidi="ar"/>
              </w:rPr>
              <w:t>+</w:t>
            </w:r>
            <w:r>
              <w:rPr>
                <w:rFonts w:hint="eastAsia" w:ascii="宋体" w:hAnsi="宋体" w:cs="宋体"/>
                <w:kern w:val="0"/>
                <w:szCs w:val="21"/>
                <w:lang w:val="en-US" w:eastAsia="zh-CN" w:bidi="ar"/>
              </w:rPr>
              <w:t>1</w:t>
            </w:r>
            <w:r>
              <w:rPr>
                <w:rFonts w:hint="eastAsia" w:ascii="宋体" w:hAnsi="宋体" w:cs="宋体"/>
                <w:kern w:val="0"/>
                <w:szCs w:val="21"/>
                <w:lang w:bidi="ar"/>
              </w:rPr>
              <w:t>00</w:t>
            </w:r>
          </w:p>
        </w:tc>
        <w:tc>
          <w:tcPr>
            <w:tcW w:w="3000" w:type="dxa"/>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TJ3项目经理部（</w:t>
            </w:r>
            <w:r>
              <w:rPr>
                <w:rFonts w:hint="eastAsia" w:ascii="宋体" w:hAnsi="宋体" w:cs="宋体"/>
                <w:kern w:val="0"/>
                <w:sz w:val="22"/>
                <w:lang w:bidi="ar"/>
              </w:rPr>
              <w:t>K44+500～</w:t>
            </w:r>
            <w:r>
              <w:rPr>
                <w:rFonts w:hint="eastAsia" w:ascii="宋体" w:hAnsi="宋体" w:cs="宋体"/>
                <w:kern w:val="0"/>
                <w:sz w:val="22"/>
                <w:lang w:val="en-US" w:eastAsia="zh-CN" w:bidi="ar"/>
              </w:rPr>
              <w:t>K</w:t>
            </w:r>
            <w:r>
              <w:rPr>
                <w:rFonts w:hint="eastAsia" w:ascii="宋体" w:hAnsi="宋体" w:cs="宋体"/>
                <w:kern w:val="0"/>
                <w:sz w:val="22"/>
                <w:lang w:bidi="ar"/>
              </w:rPr>
              <w:t>61+200</w:t>
            </w:r>
            <w:r>
              <w:rPr>
                <w:rFonts w:hint="eastAsia" w:ascii="宋体" w:hAnsi="宋体" w:cs="宋体"/>
                <w:kern w:val="0"/>
                <w:szCs w:val="21"/>
                <w:lang w:val="en-US" w:eastAsia="zh-CN" w:bidi="ar"/>
              </w:rPr>
              <w:t>）</w:t>
            </w:r>
          </w:p>
        </w:tc>
        <w:tc>
          <w:tcPr>
            <w:tcW w:w="1215"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12个月</w:t>
            </w:r>
          </w:p>
        </w:tc>
        <w:tc>
          <w:tcPr>
            <w:tcW w:w="1935" w:type="dxa"/>
            <w:vMerge w:val="restart"/>
            <w:tcBorders>
              <w:top w:val="single" w:color="000000" w:themeColor="text1" w:sz="2"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中标单位与久马高速公路C2总包部签订劳务合作合同，合同一年一签，一年期满后无质量、安全事故，则继续续签，直至项目完工</w:t>
            </w:r>
          </w:p>
        </w:tc>
      </w:tr>
      <w:tr>
        <w:tblPrEx>
          <w:tblCellMar>
            <w:top w:w="0" w:type="dxa"/>
            <w:left w:w="0" w:type="dxa"/>
            <w:bottom w:w="0" w:type="dxa"/>
            <w:right w:w="0" w:type="dxa"/>
          </w:tblCellMar>
        </w:tblPrEx>
        <w:trPr>
          <w:trHeight w:val="866" w:hRule="atLeast"/>
        </w:trPr>
        <w:tc>
          <w:tcPr>
            <w:tcW w:w="9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bidi="ar"/>
              </w:rPr>
            </w:pPr>
          </w:p>
        </w:tc>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1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bidi="ar"/>
              </w:rPr>
            </w:pP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bidi="ar"/>
              </w:rPr>
            </w:pPr>
            <w:r>
              <w:rPr>
                <w:rFonts w:hint="eastAsia" w:ascii="宋体" w:hAnsi="宋体" w:cs="宋体"/>
                <w:kern w:val="0"/>
                <w:szCs w:val="21"/>
                <w:lang w:val="en-US" w:eastAsia="zh-CN" w:bidi="ar"/>
              </w:rPr>
              <w:t>K73+000</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TJ4项目经理部（</w:t>
            </w:r>
            <w:r>
              <w:rPr>
                <w:rFonts w:hint="eastAsia" w:ascii="宋体" w:hAnsi="宋体" w:cs="宋体"/>
                <w:kern w:val="0"/>
                <w:sz w:val="22"/>
                <w:lang w:bidi="ar"/>
              </w:rPr>
              <w:t>K61+200～K83+080.78</w:t>
            </w:r>
            <w:r>
              <w:rPr>
                <w:rFonts w:hint="eastAsia" w:ascii="宋体" w:hAnsi="宋体" w:cs="宋体"/>
                <w:kern w:val="0"/>
                <w:szCs w:val="21"/>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19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r>
        <w:tblPrEx>
          <w:tblCellMar>
            <w:top w:w="0" w:type="dxa"/>
            <w:left w:w="0" w:type="dxa"/>
            <w:bottom w:w="0" w:type="dxa"/>
            <w:right w:w="0" w:type="dxa"/>
          </w:tblCellMar>
        </w:tblPrEx>
        <w:trPr>
          <w:trHeight w:val="895" w:hRule="atLeast"/>
        </w:trPr>
        <w:tc>
          <w:tcPr>
            <w:tcW w:w="9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bidi="ar"/>
              </w:rPr>
            </w:pPr>
          </w:p>
        </w:tc>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bidi="ar"/>
              </w:rPr>
            </w:pPr>
          </w:p>
        </w:tc>
        <w:tc>
          <w:tcPr>
            <w:tcW w:w="21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bidi="ar"/>
              </w:rPr>
            </w:pP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bidi="ar"/>
              </w:rPr>
            </w:pPr>
            <w:r>
              <w:rPr>
                <w:rFonts w:hint="eastAsia" w:ascii="宋体" w:hAnsi="宋体" w:cs="宋体"/>
                <w:kern w:val="0"/>
                <w:szCs w:val="21"/>
                <w:lang w:val="en-US" w:eastAsia="zh-CN" w:bidi="ar"/>
              </w:rPr>
              <w:t>K111+100</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TJ6项目经理部（</w:t>
            </w:r>
            <w:r>
              <w:rPr>
                <w:rFonts w:hint="eastAsia" w:ascii="宋体" w:hAnsi="宋体" w:cs="宋体"/>
                <w:kern w:val="0"/>
                <w:sz w:val="22"/>
                <w:lang w:bidi="ar"/>
              </w:rPr>
              <w:t>K106+000～</w:t>
            </w:r>
            <w:r>
              <w:rPr>
                <w:rFonts w:hint="eastAsia" w:ascii="宋体" w:hAnsi="宋体" w:cs="宋体"/>
                <w:kern w:val="0"/>
                <w:sz w:val="22"/>
                <w:lang w:val="en-US" w:eastAsia="zh-CN" w:bidi="ar"/>
              </w:rPr>
              <w:t>K</w:t>
            </w:r>
            <w:r>
              <w:rPr>
                <w:rFonts w:hint="eastAsia" w:ascii="宋体" w:hAnsi="宋体" w:cs="宋体"/>
                <w:kern w:val="0"/>
                <w:sz w:val="22"/>
                <w:lang w:bidi="ar"/>
              </w:rPr>
              <w:t>1</w:t>
            </w:r>
            <w:r>
              <w:rPr>
                <w:rFonts w:hint="eastAsia" w:ascii="宋体" w:hAnsi="宋体" w:cs="宋体"/>
                <w:kern w:val="0"/>
                <w:sz w:val="22"/>
                <w:lang w:val="en-US" w:eastAsia="zh-CN" w:bidi="ar"/>
              </w:rPr>
              <w:t>25</w:t>
            </w:r>
            <w:r>
              <w:rPr>
                <w:rFonts w:hint="eastAsia" w:ascii="宋体" w:hAnsi="宋体" w:cs="宋体"/>
                <w:kern w:val="0"/>
                <w:sz w:val="22"/>
                <w:lang w:bidi="ar"/>
              </w:rPr>
              <w:t>+7</w:t>
            </w:r>
            <w:r>
              <w:rPr>
                <w:rFonts w:hint="eastAsia" w:ascii="宋体" w:hAnsi="宋体" w:cs="宋体"/>
                <w:kern w:val="0"/>
                <w:sz w:val="22"/>
                <w:lang w:val="en-US" w:eastAsia="zh-CN" w:bidi="ar"/>
              </w:rPr>
              <w:t>50</w:t>
            </w:r>
            <w:r>
              <w:rPr>
                <w:rFonts w:hint="eastAsia" w:ascii="宋体" w:hAnsi="宋体" w:cs="宋体"/>
                <w:kern w:val="0"/>
                <w:szCs w:val="21"/>
                <w:lang w:val="en-US" w:eastAsia="zh-CN" w:bidi="ar"/>
              </w:rPr>
              <w:t>）</w:t>
            </w:r>
          </w:p>
        </w:tc>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19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bl>
    <w:p>
      <w:pPr>
        <w:spacing w:line="240" w:lineRule="auto"/>
        <w:ind w:firstLine="0" w:firstLineChars="0"/>
        <w:rPr>
          <w:rFonts w:hint="eastAsia" w:hAnsi="宋体" w:cs="宋体"/>
          <w:kern w:val="0"/>
          <w:sz w:val="24"/>
          <w:szCs w:val="24"/>
        </w:rPr>
      </w:pPr>
      <w:r>
        <w:rPr>
          <w:rFonts w:hint="eastAsia" w:hAnsi="宋体" w:cs="宋体"/>
          <w:kern w:val="0"/>
          <w:sz w:val="24"/>
          <w:szCs w:val="24"/>
          <w:highlight w:val="yellow"/>
          <w:lang w:val="en-US" w:eastAsia="zh-CN"/>
        </w:rPr>
        <w:br w:type="page"/>
      </w:r>
    </w:p>
    <w:p>
      <w:pPr>
        <w:pStyle w:val="2"/>
        <w:rPr>
          <w:rFonts w:hint="eastAsia" w:hAnsi="宋体" w:cs="宋体"/>
          <w:kern w:val="0"/>
          <w:sz w:val="24"/>
          <w:szCs w:val="24"/>
        </w:rPr>
      </w:pPr>
    </w:p>
    <w:p>
      <w:pPr>
        <w:pStyle w:val="2"/>
        <w:ind w:firstLine="0"/>
        <w:jc w:val="left"/>
        <w:rPr>
          <w:rFonts w:hint="eastAsia" w:ascii="宋体" w:hAnsi="宋体" w:eastAsia="宋体" w:cs="宋体"/>
          <w:b/>
          <w:sz w:val="28"/>
          <w:szCs w:val="28"/>
          <w:highlight w:val="yellow"/>
          <w:lang w:eastAsia="zh-CN"/>
        </w:rPr>
      </w:pPr>
      <w:r>
        <w:rPr>
          <w:rFonts w:hint="eastAsia" w:ascii="宋体" w:hAnsi="宋体" w:eastAsia="宋体" w:cs="宋体"/>
          <w:b/>
          <w:sz w:val="28"/>
          <w:szCs w:val="28"/>
          <w:highlight w:val="none"/>
        </w:rPr>
        <w:t>附表</w:t>
      </w:r>
      <w:r>
        <w:rPr>
          <w:rFonts w:hint="eastAsia" w:ascii="宋体" w:hAnsi="宋体" w:eastAsia="宋体" w:cs="宋体"/>
          <w:b/>
          <w:sz w:val="28"/>
          <w:szCs w:val="28"/>
          <w:highlight w:val="none"/>
          <w:lang w:val="en-US" w:eastAsia="zh-CN"/>
        </w:rPr>
        <w:t>二</w:t>
      </w:r>
    </w:p>
    <w:tbl>
      <w:tblPr>
        <w:tblStyle w:val="16"/>
        <w:tblpPr w:leftFromText="180" w:rightFromText="180" w:vertAnchor="text" w:horzAnchor="page" w:tblpX="1194" w:tblpY="118"/>
        <w:tblOverlap w:val="never"/>
        <w:tblW w:w="1366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46"/>
        <w:gridCol w:w="2417"/>
        <w:gridCol w:w="5231"/>
        <w:gridCol w:w="957"/>
        <w:gridCol w:w="420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05" w:hRule="atLeast"/>
        </w:trPr>
        <w:tc>
          <w:tcPr>
            <w:tcW w:w="13660" w:type="dxa"/>
            <w:gridSpan w:val="5"/>
            <w:tcBorders>
              <w:bottom w:val="single" w:color="auto" w:sz="2" w:space="0"/>
            </w:tcBorders>
            <w:tcMar>
              <w:top w:w="15" w:type="dxa"/>
              <w:left w:w="15" w:type="dxa"/>
              <w:right w:w="15" w:type="dxa"/>
            </w:tcMar>
            <w:vAlign w:val="center"/>
          </w:tcPr>
          <w:p>
            <w:pPr>
              <w:spacing w:line="360" w:lineRule="auto"/>
              <w:jc w:val="center"/>
              <w:rPr>
                <w:rFonts w:hint="eastAsia" w:ascii="宋体" w:hAnsi="宋体" w:cs="宋体"/>
                <w:b/>
                <w:sz w:val="28"/>
                <w:szCs w:val="28"/>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C2合同段变电站及10KV主线运行、维护、维修服务项目拟投入人员明细表（最低要求）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5"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cs="宋体"/>
                <w:b/>
                <w:bCs/>
                <w:szCs w:val="21"/>
              </w:rPr>
            </w:pPr>
            <w:r>
              <w:rPr>
                <w:rFonts w:hint="eastAsia" w:ascii="宋体" w:hAnsi="宋体" w:cs="宋体"/>
                <w:b/>
                <w:bCs/>
                <w:kern w:val="0"/>
                <w:szCs w:val="21"/>
                <w:lang w:bidi="ar"/>
              </w:rPr>
              <w:t>工 种</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ind w:firstLine="211" w:firstLineChars="100"/>
              <w:jc w:val="center"/>
              <w:textAlignment w:val="center"/>
              <w:rPr>
                <w:rFonts w:hint="eastAsia" w:ascii="宋体" w:hAnsi="宋体" w:cs="宋体"/>
                <w:b/>
                <w:bCs/>
                <w:szCs w:val="21"/>
              </w:rPr>
            </w:pPr>
            <w:r>
              <w:rPr>
                <w:rFonts w:hint="eastAsia" w:ascii="宋体" w:hAnsi="宋体" w:cs="宋体"/>
                <w:b/>
                <w:bCs/>
                <w:kern w:val="0"/>
                <w:szCs w:val="21"/>
                <w:lang w:bidi="ar"/>
              </w:rPr>
              <w:t>工作任务</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ind w:firstLine="211" w:firstLineChars="10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79"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技术负责人（变电站）</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default" w:ascii="宋体" w:hAnsi="宋体" w:eastAsia="宋体" w:cs="宋体"/>
                <w:szCs w:val="21"/>
                <w:lang w:val="en-US" w:eastAsia="zh-CN"/>
              </w:rPr>
            </w:pPr>
            <w:r>
              <w:rPr>
                <w:rFonts w:hint="eastAsia" w:ascii="宋体" w:hAnsi="宋体" w:cs="宋体"/>
                <w:kern w:val="0"/>
                <w:szCs w:val="21"/>
                <w:lang w:bidi="ar"/>
              </w:rPr>
              <w:t>负责项目总体工作</w:t>
            </w:r>
            <w:r>
              <w:rPr>
                <w:rFonts w:hint="eastAsia" w:ascii="宋体" w:hAnsi="宋体" w:cs="宋体"/>
                <w:kern w:val="0"/>
                <w:szCs w:val="21"/>
                <w:lang w:eastAsia="zh-CN" w:bidi="ar"/>
              </w:rPr>
              <w:t>，</w:t>
            </w:r>
            <w:r>
              <w:rPr>
                <w:rFonts w:hint="eastAsia" w:ascii="宋体" w:hAnsi="宋体" w:cs="宋体"/>
                <w:kern w:val="0"/>
                <w:szCs w:val="21"/>
                <w:lang w:val="en-US" w:eastAsia="zh-CN" w:bidi="ar"/>
              </w:rPr>
              <w:t>负责变电站运行、维护、维修</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default" w:ascii="宋体" w:hAnsi="宋体" w:cs="宋体"/>
                <w:kern w:val="0"/>
                <w:szCs w:val="21"/>
                <w:lang w:eastAsia="zh-CN" w:bidi="ar"/>
              </w:rPr>
            </w:pPr>
            <w:r>
              <w:rPr>
                <w:rFonts w:hint="eastAsia" w:ascii="宋体" w:hAnsi="宋体" w:cs="宋体"/>
                <w:kern w:val="0"/>
                <w:szCs w:val="21"/>
                <w:lang w:val="en-US" w:eastAsia="zh-CN" w:bidi="ar"/>
              </w:rPr>
              <w:t>具有主管部门颁发的高压电工作业证书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71"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bidi="ar"/>
              </w:rPr>
              <w:t>3</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default" w:ascii="宋体" w:hAnsi="宋体" w:cs="宋体"/>
                <w:kern w:val="0"/>
                <w:szCs w:val="21"/>
                <w:lang w:val="en-US" w:bidi="ar"/>
              </w:rPr>
            </w:pPr>
            <w:r>
              <w:rPr>
                <w:rFonts w:hint="eastAsia" w:ascii="宋体" w:hAnsi="宋体" w:cs="宋体"/>
                <w:kern w:val="0"/>
                <w:szCs w:val="21"/>
                <w:lang w:val="en-US" w:eastAsia="zh-CN" w:bidi="ar"/>
              </w:rPr>
              <w:t>技术负责人（10KV主线）</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负责10KV主线运行、维护、维修。</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default" w:ascii="宋体" w:hAnsi="宋体" w:cs="宋体"/>
                <w:kern w:val="0"/>
                <w:szCs w:val="21"/>
                <w:lang w:eastAsia="zh-CN" w:bidi="ar"/>
              </w:rPr>
            </w:pPr>
            <w:r>
              <w:rPr>
                <w:rFonts w:hint="eastAsia" w:ascii="宋体" w:hAnsi="宋体" w:cs="宋体"/>
                <w:kern w:val="0"/>
                <w:szCs w:val="21"/>
                <w:lang w:val="en-US" w:eastAsia="zh-CN"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具有主管部门颁发的</w:t>
            </w:r>
            <w:r>
              <w:rPr>
                <w:rFonts w:hint="default" w:ascii="宋体" w:hAnsi="宋体" w:cs="宋体"/>
                <w:kern w:val="0"/>
                <w:szCs w:val="21"/>
                <w:lang w:eastAsia="zh-CN" w:bidi="ar"/>
              </w:rPr>
              <w:t>高处作业证书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5"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eastAsia="宋体" w:cs="宋体"/>
                <w:kern w:val="0"/>
                <w:szCs w:val="21"/>
                <w:lang w:eastAsia="zh-CN" w:bidi="ar"/>
              </w:rPr>
            </w:pPr>
            <w:r>
              <w:rPr>
                <w:rFonts w:hint="eastAsia" w:ascii="宋体" w:hAnsi="宋体" w:cs="宋体"/>
                <w:kern w:val="0"/>
                <w:szCs w:val="21"/>
                <w:lang w:val="en-US" w:eastAsia="zh-CN" w:bidi="ar"/>
              </w:rPr>
              <w:t>4</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值班人员</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负责变电站及10KV主线的日常值班，含变压器抄表工作（各标段电工辅助）。</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default" w:ascii="宋体" w:hAnsi="宋体" w:cs="宋体"/>
                <w:kern w:val="0"/>
                <w:szCs w:val="21"/>
                <w:lang w:eastAsia="zh-CN" w:bidi="ar"/>
              </w:rPr>
            </w:pPr>
            <w:r>
              <w:rPr>
                <w:rFonts w:hint="eastAsia" w:ascii="宋体" w:hAnsi="宋体" w:cs="宋体"/>
                <w:kern w:val="0"/>
                <w:szCs w:val="21"/>
                <w:lang w:val="en-US" w:eastAsia="zh-CN" w:bidi="ar"/>
              </w:rPr>
              <w:t>6</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spacing w:line="240" w:lineRule="auto"/>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每个变电站安排2人24小时看守。</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55" w:hRule="atLeast"/>
        </w:trPr>
        <w:tc>
          <w:tcPr>
            <w:tcW w:w="13660" w:type="dxa"/>
            <w:gridSpan w:val="5"/>
            <w:tcBorders>
              <w:top w:val="single" w:color="auto" w:sz="2" w:space="0"/>
            </w:tcBorders>
            <w:tcMar>
              <w:top w:w="15" w:type="dxa"/>
              <w:left w:w="15" w:type="dxa"/>
              <w:right w:w="15" w:type="dxa"/>
            </w:tcMar>
            <w:vAlign w:val="center"/>
          </w:tcPr>
          <w:p>
            <w:pPr>
              <w:widowControl/>
              <w:jc w:val="left"/>
              <w:textAlignment w:val="center"/>
              <w:rPr>
                <w:rFonts w:hint="eastAsia"/>
                <w:sz w:val="18"/>
                <w:szCs w:val="18"/>
              </w:rPr>
            </w:pPr>
            <w:r>
              <w:rPr>
                <w:rFonts w:hint="eastAsia"/>
                <w:sz w:val="18"/>
                <w:szCs w:val="18"/>
              </w:rPr>
              <w:t>注：</w:t>
            </w:r>
          </w:p>
          <w:p>
            <w:pPr>
              <w:widowControl/>
              <w:jc w:val="left"/>
              <w:textAlignment w:val="center"/>
              <w:rPr>
                <w:rFonts w:hint="eastAsia"/>
                <w:sz w:val="18"/>
                <w:szCs w:val="18"/>
              </w:rPr>
            </w:pPr>
            <w:r>
              <w:rPr>
                <w:rFonts w:hint="eastAsia"/>
                <w:sz w:val="18"/>
                <w:szCs w:val="18"/>
              </w:rPr>
              <w:t>1、</w:t>
            </w:r>
            <w:r>
              <w:rPr>
                <w:rFonts w:hint="eastAsia"/>
                <w:sz w:val="18"/>
                <w:szCs w:val="18"/>
                <w:lang w:val="en-US" w:eastAsia="zh-CN"/>
              </w:rPr>
              <w:t xml:space="preserve">本表为主要人员的基本要求，投标人应根据施工需要或招标人的要求增加或更换相关专业技术人员。 </w:t>
            </w:r>
            <w:r>
              <w:rPr>
                <w:rFonts w:hint="eastAsia"/>
                <w:sz w:val="18"/>
                <w:szCs w:val="18"/>
              </w:rPr>
              <w:t xml:space="preserve"> </w:t>
            </w:r>
            <w:r>
              <w:rPr>
                <w:rFonts w:hint="eastAsia"/>
                <w:sz w:val="18"/>
                <w:szCs w:val="18"/>
              </w:rPr>
              <w:br w:type="textWrapping"/>
            </w:r>
            <w:r>
              <w:rPr>
                <w:rFonts w:hint="eastAsia"/>
                <w:sz w:val="18"/>
                <w:szCs w:val="18"/>
              </w:rPr>
              <w:t>2、如因投标人的原因(除不可抗拒因素外)更换上述主要人员，须报请招标人批准，更换人员的资质不能低于招标文件要求，自行更换主要负责人的，对投标人按每人次课以</w:t>
            </w:r>
            <w:r>
              <w:rPr>
                <w:rFonts w:hint="eastAsia"/>
                <w:sz w:val="18"/>
                <w:szCs w:val="18"/>
                <w:lang w:val="en-US" w:eastAsia="zh-CN"/>
              </w:rPr>
              <w:t>2</w:t>
            </w:r>
            <w:r>
              <w:rPr>
                <w:rFonts w:hint="eastAsia"/>
                <w:sz w:val="18"/>
                <w:szCs w:val="18"/>
              </w:rPr>
              <w:t>万元人民币违约金。</w:t>
            </w:r>
            <w:r>
              <w:rPr>
                <w:rFonts w:hint="eastAsia"/>
                <w:sz w:val="18"/>
                <w:szCs w:val="18"/>
              </w:rPr>
              <w:br w:type="textWrapping"/>
            </w:r>
            <w:r>
              <w:rPr>
                <w:rFonts w:hint="eastAsia"/>
                <w:sz w:val="18"/>
                <w:szCs w:val="18"/>
              </w:rPr>
              <w:t>3、相关管理人员及技术人员必须在岗，有特殊情况离岗必须向项目部请假并得到批准。</w:t>
            </w:r>
          </w:p>
          <w:p>
            <w:pPr>
              <w:widowControl/>
              <w:jc w:val="left"/>
              <w:textAlignment w:val="center"/>
              <w:rPr>
                <w:rFonts w:hint="default"/>
                <w:sz w:val="18"/>
                <w:szCs w:val="18"/>
                <w:lang w:val="en-US" w:eastAsia="zh-CN"/>
              </w:rPr>
            </w:pPr>
            <w:r>
              <w:rPr>
                <w:rFonts w:hint="eastAsia"/>
                <w:sz w:val="18"/>
                <w:szCs w:val="18"/>
                <w:lang w:val="en-US" w:eastAsia="zh-CN"/>
              </w:rPr>
              <w:t>4、所有人员须接种新冠疫苗。</w:t>
            </w:r>
          </w:p>
          <w:p>
            <w:pPr>
              <w:pStyle w:val="2"/>
              <w:rPr>
                <w:rFonts w:hint="eastAsia"/>
              </w:rPr>
            </w:pPr>
          </w:p>
        </w:tc>
      </w:tr>
    </w:tbl>
    <w:p>
      <w:pPr>
        <w:pStyle w:val="2"/>
        <w:ind w:firstLine="0"/>
        <w:rPr>
          <w:rFonts w:hint="eastAsia" w:hAnsi="宋体" w:cs="宋体"/>
          <w:sz w:val="24"/>
          <w:szCs w:val="24"/>
        </w:rPr>
      </w:pPr>
    </w:p>
    <w:p>
      <w:pPr>
        <w:pStyle w:val="2"/>
        <w:rPr>
          <w:rFonts w:hint="eastAsia" w:ascii="仿宋_GB2312" w:hAnsi="仿宋_GB2312" w:eastAsia="仿宋_GB2312" w:cs="仿宋_GB2312"/>
          <w:b/>
          <w:bCs/>
          <w:sz w:val="28"/>
          <w:szCs w:val="28"/>
          <w:lang w:val="en-US" w:eastAsia="zh-CN"/>
        </w:rPr>
      </w:pPr>
      <w:bookmarkStart w:id="0" w:name="_Toc6807"/>
      <w:bookmarkStart w:id="1" w:name="_Toc24660"/>
      <w:bookmarkStart w:id="2" w:name="_Toc23868_WPSOffice_Level1"/>
      <w:bookmarkStart w:id="3" w:name="_Toc8022"/>
      <w:bookmarkStart w:id="4" w:name="_Toc31424"/>
      <w:bookmarkStart w:id="5" w:name="_Toc10312"/>
      <w:bookmarkStart w:id="6" w:name="_Toc7509"/>
      <w:bookmarkStart w:id="7" w:name="_Toc4825"/>
    </w:p>
    <w:p>
      <w:pPr>
        <w:pStyle w:val="2"/>
        <w:rPr>
          <w:rFonts w:hint="eastAsia" w:ascii="仿宋_GB2312" w:hAnsi="仿宋_GB2312" w:eastAsia="仿宋_GB2312" w:cs="仿宋_GB2312"/>
          <w:b/>
          <w:bCs/>
          <w:sz w:val="28"/>
          <w:szCs w:val="28"/>
          <w:lang w:val="en-US" w:eastAsia="zh-CN"/>
        </w:rPr>
      </w:pPr>
    </w:p>
    <w:p>
      <w:pPr>
        <w:pStyle w:val="2"/>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附表三</w:t>
      </w:r>
    </w:p>
    <w:p>
      <w:pPr>
        <w:pStyle w:val="2"/>
        <w:jc w:val="center"/>
        <w:rPr>
          <w:rFonts w:hint="eastAsia" w:ascii="仿宋_GB2312" w:hAnsi="仿宋_GB2312" w:eastAsia="仿宋_GB2312" w:cs="仿宋_GB2312"/>
          <w:b/>
          <w:bCs/>
          <w:sz w:val="28"/>
          <w:szCs w:val="28"/>
          <w:lang w:val="en-US" w:eastAsia="zh-CN"/>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C2合同段变电站及10KV主线运行、维护、维修服务项目</w:t>
      </w:r>
      <w:r>
        <w:rPr>
          <w:rFonts w:hint="eastAsia" w:ascii="仿宋" w:hAnsi="仿宋" w:eastAsia="仿宋" w:cs="仿宋"/>
          <w:b/>
          <w:bCs/>
          <w:color w:val="auto"/>
          <w:sz w:val="32"/>
          <w:szCs w:val="32"/>
          <w:highlight w:val="none"/>
        </w:rPr>
        <w:t>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16"/>
        <w:tblpPr w:leftFromText="180" w:rightFromText="180" w:vertAnchor="text" w:horzAnchor="page" w:tblpX="2431" w:tblpY="364"/>
        <w:tblOverlap w:val="never"/>
        <w:tblW w:w="12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2275"/>
        <w:gridCol w:w="3308"/>
        <w:gridCol w:w="385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80" w:type="dxa"/>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序号</w:t>
            </w:r>
          </w:p>
        </w:tc>
        <w:tc>
          <w:tcPr>
            <w:tcW w:w="2275" w:type="dxa"/>
            <w:vAlign w:val="center"/>
          </w:tcPr>
          <w:p>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val="en-US" w:eastAsia="zh-CN" w:bidi="ar"/>
              </w:rPr>
              <w:t>分</w:t>
            </w:r>
            <w:r>
              <w:rPr>
                <w:rFonts w:hint="eastAsia" w:ascii="宋体" w:hAnsi="宋体" w:cs="宋体"/>
                <w:b/>
                <w:bCs/>
                <w:kern w:val="0"/>
                <w:szCs w:val="21"/>
                <w:lang w:eastAsia="zh-CN" w:bidi="ar"/>
              </w:rPr>
              <w:t>段名称</w:t>
            </w:r>
          </w:p>
        </w:tc>
        <w:tc>
          <w:tcPr>
            <w:tcW w:w="3308" w:type="dxa"/>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资质等级要求</w:t>
            </w:r>
          </w:p>
        </w:tc>
        <w:tc>
          <w:tcPr>
            <w:tcW w:w="3855" w:type="dxa"/>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业绩要求</w:t>
            </w:r>
          </w:p>
        </w:tc>
        <w:tc>
          <w:tcPr>
            <w:tcW w:w="1695" w:type="dxa"/>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280"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1</w:t>
            </w:r>
          </w:p>
        </w:tc>
        <w:tc>
          <w:tcPr>
            <w:tcW w:w="2275" w:type="dxa"/>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运管</w:t>
            </w:r>
          </w:p>
        </w:tc>
        <w:tc>
          <w:tcPr>
            <w:tcW w:w="3308" w:type="dxa"/>
            <w:vAlign w:val="center"/>
          </w:tcPr>
          <w:p>
            <w:pPr>
              <w:widowControl/>
              <w:jc w:val="center"/>
              <w:textAlignment w:val="center"/>
              <w:rPr>
                <w:rFonts w:hint="eastAsia" w:ascii="宋体" w:hAnsi="宋体" w:cs="宋体"/>
                <w:kern w:val="0"/>
                <w:szCs w:val="21"/>
                <w:highlight w:val="yellow"/>
                <w:lang w:val="en-US" w:eastAsia="zh-CN" w:bidi="ar"/>
              </w:rPr>
            </w:pPr>
            <w:r>
              <w:rPr>
                <w:rFonts w:hint="eastAsia" w:ascii="宋体" w:hAnsi="宋体" w:cs="宋体"/>
                <w:kern w:val="0"/>
                <w:szCs w:val="21"/>
                <w:highlight w:val="none"/>
                <w:lang w:val="en-US" w:eastAsia="zh-CN" w:bidi="ar"/>
              </w:rPr>
              <w:t>具备输变电工程专业承包资质叁级及以上等级资质</w:t>
            </w:r>
          </w:p>
        </w:tc>
        <w:tc>
          <w:tcPr>
            <w:tcW w:w="3855"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近三年内（自2018年1月1日起至今）具有1个及以上变电站施工或运营业绩</w:t>
            </w:r>
          </w:p>
        </w:tc>
        <w:tc>
          <w:tcPr>
            <w:tcW w:w="1695" w:type="dxa"/>
            <w:vAlign w:val="center"/>
          </w:tcPr>
          <w:p>
            <w:pPr>
              <w:widowControl/>
              <w:jc w:val="center"/>
              <w:textAlignment w:val="center"/>
              <w:rPr>
                <w:rFonts w:hint="eastAsia" w:ascii="宋体" w:hAnsi="宋体" w:cs="宋体"/>
                <w:kern w:val="0"/>
                <w:szCs w:val="21"/>
                <w:lang w:val="en-US" w:eastAsia="zh-CN" w:bidi="ar"/>
              </w:rPr>
            </w:pPr>
          </w:p>
        </w:tc>
      </w:tr>
    </w:tbl>
    <w:p>
      <w:pPr>
        <w:pStyle w:val="2"/>
        <w:rPr>
          <w:rFonts w:hint="default" w:ascii="仿宋_GB2312" w:hAnsi="仿宋_GB2312" w:eastAsia="仿宋_GB2312" w:cs="仿宋_GB2312"/>
          <w:b/>
          <w:bCs/>
          <w:sz w:val="28"/>
          <w:szCs w:val="28"/>
          <w:lang w:val="en-US" w:eastAsia="zh-CN"/>
        </w:rPr>
      </w:pPr>
    </w:p>
    <w:p>
      <w:pPr>
        <w:pStyle w:val="2"/>
        <w:rPr>
          <w:rFonts w:hint="eastAsia" w:ascii="仿宋_GB2312" w:hAnsi="仿宋_GB2312" w:eastAsia="仿宋_GB2312" w:cs="仿宋_GB2312"/>
          <w:b/>
          <w:bCs/>
          <w:sz w:val="28"/>
          <w:szCs w:val="28"/>
        </w:rPr>
      </w:pPr>
    </w:p>
    <w:p>
      <w:pPr>
        <w:pStyle w:val="2"/>
        <w:rPr>
          <w:rFonts w:hint="eastAsia" w:ascii="仿宋_GB2312" w:hAnsi="仿宋_GB2312" w:eastAsia="仿宋_GB2312" w:cs="仿宋_GB2312"/>
          <w:b/>
          <w:bCs/>
          <w:sz w:val="28"/>
          <w:szCs w:val="28"/>
        </w:rPr>
      </w:pPr>
    </w:p>
    <w:p>
      <w:pPr>
        <w:spacing w:line="360" w:lineRule="auto"/>
        <w:ind w:firstLine="0" w:firstLineChars="0"/>
        <w:jc w:val="left"/>
        <w:rPr>
          <w:rFonts w:hint="eastAsia" w:ascii="宋体" w:hAnsi="宋体" w:cs="宋体"/>
          <w:color w:val="FF0000"/>
          <w:sz w:val="24"/>
          <w:szCs w:val="24"/>
        </w:rPr>
      </w:pPr>
    </w:p>
    <w:p>
      <w:pPr>
        <w:ind w:firstLine="0"/>
        <w:jc w:val="left"/>
        <w:rPr>
          <w:rFonts w:hint="eastAsia" w:ascii="仿宋_GB2312" w:hAnsi="仿宋_GB2312" w:eastAsia="仿宋_GB2312" w:cs="仿宋_GB2312"/>
          <w:b/>
          <w:bCs/>
          <w:sz w:val="28"/>
          <w:szCs w:val="28"/>
          <w:highlight w:val="yellow"/>
        </w:rPr>
      </w:pPr>
      <w:r>
        <w:rPr>
          <w:rFonts w:hint="eastAsia" w:ascii="宋体" w:hAnsi="宋体" w:eastAsia="宋体" w:cs="宋体"/>
          <w:b/>
          <w:sz w:val="28"/>
          <w:szCs w:val="28"/>
        </w:rPr>
        <w:br w:type="page"/>
      </w:r>
    </w:p>
    <w:p>
      <w:pPr>
        <w:widowControl/>
        <w:ind w:left="0" w:firstLine="0" w:firstLineChars="0"/>
        <w:jc w:val="left"/>
        <w:textAlignment w:val="center"/>
        <w:rPr>
          <w:rFonts w:hint="eastAsia" w:ascii="等线" w:hAnsi="等线" w:eastAsia="等线" w:cs="等线"/>
          <w:b/>
          <w:bCs/>
          <w:sz w:val="48"/>
          <w:szCs w:val="48"/>
          <w:lang w:bidi="zh-CN"/>
        </w:rPr>
        <w:sectPr>
          <w:footerReference r:id="rId5" w:type="default"/>
          <w:pgSz w:w="16838" w:h="11911" w:orient="landscape"/>
          <w:pgMar w:top="1800" w:right="1440" w:bottom="1800" w:left="1440" w:header="0" w:footer="567" w:gutter="0"/>
          <w:pgBorders>
            <w:top w:val="none" w:sz="0" w:space="0"/>
            <w:left w:val="none" w:sz="0" w:space="0"/>
            <w:bottom w:val="none" w:sz="0" w:space="0"/>
            <w:right w:val="none" w:sz="0" w:space="0"/>
          </w:pgBorders>
          <w:pgNumType w:fmt="decimal"/>
          <w:cols w:space="720" w:num="1"/>
        </w:sectPr>
      </w:pPr>
      <w:bookmarkStart w:id="8" w:name="_Toc9451_WPSOffice_Level1"/>
      <w:bookmarkStart w:id="9" w:name="_Toc22287"/>
    </w:p>
    <w:tbl>
      <w:tblPr>
        <w:tblStyle w:val="16"/>
        <w:tblpPr w:leftFromText="180" w:rightFromText="180" w:vertAnchor="text" w:horzAnchor="page" w:tblpX="1394" w:tblpY="346"/>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tcMar>
              <w:top w:w="15" w:type="dxa"/>
              <w:left w:w="15" w:type="dxa"/>
              <w:right w:w="15" w:type="dxa"/>
            </w:tcMar>
            <w:vAlign w:val="center"/>
          </w:tcPr>
          <w:p>
            <w:pPr>
              <w:wordWrap/>
              <w:spacing w:line="360" w:lineRule="auto"/>
              <w:jc w:val="both"/>
              <w:rPr>
                <w:rFonts w:hint="eastAsia"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附表四：</w:t>
            </w:r>
          </w:p>
          <w:p>
            <w:pPr>
              <w:wordWrap/>
              <w:spacing w:line="360" w:lineRule="auto"/>
              <w:jc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32"/>
                <w:szCs w:val="32"/>
                <w:highlight w:val="none"/>
                <w:u w:val="none"/>
                <w:lang w:val="en-US" w:eastAsia="zh-CN" w:bidi="ar"/>
              </w:rPr>
              <w:t>久马高速公路C2合同段变电站及10KV主线运行、维护、维修服务项目拟投入设备明细表（基本要求）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16"/>
              <w:tblpPr w:leftFromText="180" w:rightFromText="180" w:vertAnchor="text" w:horzAnchor="page" w:tblpX="-311" w:tblpY="-2073"/>
              <w:tblOverlap w:val="never"/>
              <w:tblW w:w="88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
              <w:gridCol w:w="2771"/>
              <w:gridCol w:w="1343"/>
              <w:gridCol w:w="2214"/>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52" w:type="dxa"/>
                  <w:tcBorders>
                    <w:top w:val="single" w:color="000000" w:sz="4" w:space="0"/>
                    <w:left w:val="single" w:color="000000" w:sz="4" w:space="0"/>
                    <w:right w:val="single" w:color="000000" w:sz="4" w:space="0"/>
                    <w:tl2br w:val="nil"/>
                    <w:tr2bl w:val="nil"/>
                  </w:tcBorders>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序号</w:t>
                  </w:r>
                </w:p>
              </w:tc>
              <w:tc>
                <w:tcPr>
                  <w:tcW w:w="2771" w:type="dxa"/>
                  <w:tcBorders>
                    <w:top w:val="single" w:color="000000" w:sz="4" w:space="0"/>
                    <w:left w:val="single" w:color="000000" w:sz="4" w:space="0"/>
                    <w:right w:val="single" w:color="000000" w:sz="4" w:space="0"/>
                    <w:tl2br w:val="nil"/>
                    <w:tr2bl w:val="nil"/>
                  </w:tcBorders>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机械设备</w:t>
                  </w:r>
                </w:p>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名称</w:t>
                  </w:r>
                </w:p>
              </w:tc>
              <w:tc>
                <w:tcPr>
                  <w:tcW w:w="1343" w:type="dxa"/>
                  <w:tcBorders>
                    <w:top w:val="single" w:color="000000" w:sz="4" w:space="0"/>
                    <w:left w:val="single" w:color="000000" w:sz="4" w:space="0"/>
                    <w:right w:val="single" w:color="000000" w:sz="4" w:space="0"/>
                    <w:tl2br w:val="nil"/>
                    <w:tr2bl w:val="nil"/>
                  </w:tcBorders>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单位</w:t>
                  </w:r>
                </w:p>
              </w:tc>
              <w:tc>
                <w:tcPr>
                  <w:tcW w:w="221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数量</w:t>
                  </w:r>
                </w:p>
              </w:tc>
              <w:tc>
                <w:tcPr>
                  <w:tcW w:w="1557" w:type="dxa"/>
                  <w:tcBorders>
                    <w:top w:val="single" w:color="000000" w:sz="4" w:space="0"/>
                    <w:left w:val="single" w:color="000000"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cs="宋体"/>
                      <w:b/>
                      <w:bCs/>
                      <w:kern w:val="0"/>
                      <w:szCs w:val="21"/>
                      <w:lang w:val="en-US" w:eastAsia="zh-CN" w:bidi="ar"/>
                    </w:rPr>
                  </w:pPr>
                  <w:r>
                    <w:rPr>
                      <w:rFonts w:hint="eastAsia" w:ascii="宋体" w:hAnsi="宋体" w:cs="宋体"/>
                      <w:b/>
                      <w:bCs/>
                      <w:kern w:val="0"/>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1</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小型汽车</w:t>
                  </w:r>
                </w:p>
              </w:tc>
              <w:tc>
                <w:tcPr>
                  <w:tcW w:w="1343"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台</w:t>
                  </w:r>
                </w:p>
              </w:tc>
              <w:tc>
                <w:tcPr>
                  <w:tcW w:w="2214"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1</w:t>
                  </w:r>
                </w:p>
              </w:tc>
              <w:tc>
                <w:tcPr>
                  <w:tcW w:w="1557" w:type="dxa"/>
                  <w:tcBorders>
                    <w:top w:val="single" w:color="auto" w:sz="4" w:space="0"/>
                    <w:left w:val="nil"/>
                    <w:bottom w:val="single" w:color="auto" w:sz="4" w:space="0"/>
                    <w:right w:val="single" w:color="auto" w:sz="4" w:space="0"/>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952"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2</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1"/>
                      <w:szCs w:val="21"/>
                      <w:highlight w:val="none"/>
                      <w:lang w:val="en-US" w:eastAsia="zh-CN" w:bidi="ar-SA"/>
                    </w:rPr>
                  </w:pPr>
                  <w:r>
                    <w:rPr>
                      <w:rFonts w:hint="eastAsia" w:ascii="宋体" w:hAnsi="宋体" w:cs="宋体"/>
                      <w:b w:val="0"/>
                      <w:bCs w:val="0"/>
                      <w:color w:val="auto"/>
                      <w:w w:val="100"/>
                      <w:kern w:val="2"/>
                      <w:sz w:val="21"/>
                      <w:szCs w:val="21"/>
                      <w:highlight w:val="none"/>
                      <w:lang w:val="en-US" w:eastAsia="zh-CN" w:bidi="ar-SA"/>
                    </w:rPr>
                    <w:t>皮卡车</w:t>
                  </w:r>
                </w:p>
              </w:tc>
              <w:tc>
                <w:tcPr>
                  <w:tcW w:w="1343" w:type="dxa"/>
                  <w:tcBorders>
                    <w:top w:val="single" w:color="000000"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1"/>
                      <w:szCs w:val="21"/>
                      <w:highlight w:val="none"/>
                      <w:lang w:val="en-US" w:eastAsia="zh-CN" w:bidi="ar-SA"/>
                    </w:rPr>
                  </w:pPr>
                  <w:r>
                    <w:rPr>
                      <w:rFonts w:hint="eastAsia" w:ascii="宋体" w:hAnsi="宋体" w:cs="宋体"/>
                      <w:b w:val="0"/>
                      <w:bCs w:val="0"/>
                      <w:color w:val="auto"/>
                      <w:w w:val="100"/>
                      <w:kern w:val="2"/>
                      <w:sz w:val="21"/>
                      <w:szCs w:val="21"/>
                      <w:highlight w:val="none"/>
                      <w:lang w:val="en-US" w:eastAsia="zh-CN" w:bidi="ar-SA"/>
                    </w:rPr>
                    <w:t>台</w:t>
                  </w:r>
                </w:p>
              </w:tc>
              <w:tc>
                <w:tcPr>
                  <w:tcW w:w="2214"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cs="宋体"/>
                      <w:b w:val="0"/>
                      <w:bCs w:val="0"/>
                      <w:color w:val="auto"/>
                      <w:w w:val="100"/>
                      <w:kern w:val="2"/>
                      <w:sz w:val="21"/>
                      <w:szCs w:val="21"/>
                      <w:highlight w:val="none"/>
                      <w:lang w:val="en-US" w:eastAsia="zh-CN" w:bidi="ar-SA"/>
                    </w:rPr>
                    <w:t>1</w:t>
                  </w:r>
                </w:p>
              </w:tc>
              <w:tc>
                <w:tcPr>
                  <w:tcW w:w="1557" w:type="dxa"/>
                  <w:tcBorders>
                    <w:top w:val="single" w:color="auto" w:sz="4" w:space="0"/>
                    <w:left w:val="nil"/>
                    <w:bottom w:val="single" w:color="auto" w:sz="4" w:space="0"/>
                    <w:right w:val="single" w:color="auto"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default"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用于日常巡逻与抢险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52"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cs="宋体"/>
                      <w:b w:val="0"/>
                      <w:bCs w:val="0"/>
                      <w:color w:val="auto"/>
                      <w:w w:val="100"/>
                      <w:kern w:val="2"/>
                      <w:sz w:val="21"/>
                      <w:szCs w:val="21"/>
                      <w:highlight w:val="none"/>
                      <w:lang w:val="en-US" w:eastAsia="zh-CN" w:bidi="ar-SA"/>
                    </w:rPr>
                    <w:t>3</w:t>
                  </w:r>
                </w:p>
              </w:tc>
              <w:tc>
                <w:tcPr>
                  <w:tcW w:w="2771"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摩托车</w:t>
                  </w:r>
                </w:p>
              </w:tc>
              <w:tc>
                <w:tcPr>
                  <w:tcW w:w="1343" w:type="dxa"/>
                  <w:tcBorders>
                    <w:top w:val="single" w:color="000000"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辆</w:t>
                  </w:r>
                </w:p>
              </w:tc>
              <w:tc>
                <w:tcPr>
                  <w:tcW w:w="2214" w:type="dxa"/>
                  <w:tcBorders>
                    <w:top w:val="single" w:color="auto" w:sz="4" w:space="0"/>
                    <w:left w:val="single" w:color="000000" w:sz="4" w:space="0"/>
                    <w:bottom w:val="single" w:color="auto"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3</w:t>
                  </w:r>
                </w:p>
              </w:tc>
              <w:tc>
                <w:tcPr>
                  <w:tcW w:w="1557" w:type="dxa"/>
                  <w:tcBorders>
                    <w:top w:val="single" w:color="auto" w:sz="4" w:space="0"/>
                    <w:left w:val="nil"/>
                    <w:bottom w:val="single" w:color="auto" w:sz="4" w:space="0"/>
                    <w:right w:val="single" w:color="auto"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default"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现场值班人员代步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952"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1"/>
                      <w:szCs w:val="21"/>
                      <w:highlight w:val="none"/>
                      <w:lang w:val="en-US" w:eastAsia="zh-CN" w:bidi="ar-SA"/>
                    </w:rPr>
                  </w:pPr>
                  <w:r>
                    <w:rPr>
                      <w:rFonts w:hint="eastAsia" w:ascii="宋体" w:hAnsi="宋体" w:cs="宋体"/>
                      <w:b w:val="0"/>
                      <w:bCs w:val="0"/>
                      <w:color w:val="auto"/>
                      <w:w w:val="100"/>
                      <w:kern w:val="2"/>
                      <w:sz w:val="21"/>
                      <w:szCs w:val="21"/>
                      <w:highlight w:val="none"/>
                      <w:lang w:val="en-US" w:eastAsia="zh-CN" w:bidi="ar-SA"/>
                    </w:rPr>
                    <w:t>4</w:t>
                  </w:r>
                </w:p>
              </w:tc>
              <w:tc>
                <w:tcPr>
                  <w:tcW w:w="2771"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default"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安全工器具</w:t>
                  </w:r>
                </w:p>
              </w:tc>
              <w:tc>
                <w:tcPr>
                  <w:tcW w:w="1343"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cs="宋体"/>
                      <w:b w:val="0"/>
                      <w:bCs w:val="0"/>
                      <w:color w:val="auto"/>
                      <w:w w:val="100"/>
                      <w:kern w:val="2"/>
                      <w:sz w:val="21"/>
                      <w:szCs w:val="21"/>
                      <w:highlight w:val="none"/>
                      <w:lang w:val="en-US" w:eastAsia="zh-CN" w:bidi="ar-SA"/>
                    </w:rPr>
                    <w:t>套</w:t>
                  </w:r>
                </w:p>
              </w:tc>
              <w:tc>
                <w:tcPr>
                  <w:tcW w:w="2214" w:type="dxa"/>
                  <w:tcBorders>
                    <w:top w:val="single" w:color="auto" w:sz="4" w:space="0"/>
                    <w:left w:val="single" w:color="000000" w:sz="4" w:space="0"/>
                    <w:bottom w:val="single" w:color="000000" w:sz="4" w:space="0"/>
                    <w:right w:val="single" w:color="000000" w:sz="4" w:space="0"/>
                    <w:tl2br w:val="nil"/>
                    <w:tr2bl w:val="nil"/>
                  </w:tcBorders>
                  <w:vAlign w:val="center"/>
                </w:tcPr>
                <w:p>
                  <w:pPr>
                    <w:tabs>
                      <w:tab w:val="left" w:pos="3480"/>
                      <w:tab w:val="left" w:pos="4520"/>
                      <w:tab w:val="left" w:pos="5560"/>
                    </w:tabs>
                    <w:autoSpaceDE w:val="0"/>
                    <w:autoSpaceDN w:val="0"/>
                    <w:adjustRightInd w:val="0"/>
                    <w:spacing w:line="440" w:lineRule="exact"/>
                    <w:jc w:val="center"/>
                    <w:rPr>
                      <w:rFonts w:hint="eastAsia" w:ascii="宋体" w:hAnsi="宋体" w:eastAsia="宋体" w:cs="宋体"/>
                      <w:b w:val="0"/>
                      <w:bCs w:val="0"/>
                      <w:color w:val="auto"/>
                      <w:w w:val="100"/>
                      <w:kern w:val="2"/>
                      <w:sz w:val="21"/>
                      <w:szCs w:val="21"/>
                      <w:highlight w:val="none"/>
                      <w:lang w:val="en-US" w:eastAsia="zh-CN" w:bidi="ar-SA"/>
                    </w:rPr>
                  </w:pPr>
                  <w:r>
                    <w:rPr>
                      <w:rFonts w:hint="eastAsia" w:ascii="宋体" w:hAnsi="宋体" w:eastAsia="宋体" w:cs="宋体"/>
                      <w:b w:val="0"/>
                      <w:bCs w:val="0"/>
                      <w:color w:val="auto"/>
                      <w:w w:val="100"/>
                      <w:kern w:val="2"/>
                      <w:sz w:val="21"/>
                      <w:szCs w:val="21"/>
                      <w:highlight w:val="none"/>
                      <w:lang w:val="en-US" w:eastAsia="zh-CN" w:bidi="ar-SA"/>
                    </w:rPr>
                    <w:t>3</w:t>
                  </w:r>
                </w:p>
              </w:tc>
              <w:tc>
                <w:tcPr>
                  <w:tcW w:w="1557" w:type="dxa"/>
                  <w:tcBorders>
                    <w:top w:val="single" w:color="auto" w:sz="4" w:space="0"/>
                    <w:left w:val="nil"/>
                    <w:bottom w:val="single" w:color="auto" w:sz="4" w:space="0"/>
                    <w:right w:val="single" w:color="auto" w:sz="4" w:space="0"/>
                    <w:tl2br w:val="nil"/>
                    <w:tr2bl w:val="nil"/>
                  </w:tcBorders>
                  <w:vAlign w:val="center"/>
                </w:tcPr>
                <w:p>
                  <w:pPr>
                    <w:tabs>
                      <w:tab w:val="left" w:pos="3480"/>
                      <w:tab w:val="left" w:pos="4520"/>
                      <w:tab w:val="left" w:pos="5560"/>
                    </w:tabs>
                    <w:autoSpaceDE w:val="0"/>
                    <w:autoSpaceDN w:val="0"/>
                    <w:adjustRightInd w:val="0"/>
                    <w:spacing w:line="240" w:lineRule="auto"/>
                    <w:jc w:val="center"/>
                    <w:rPr>
                      <w:rFonts w:hint="eastAsia" w:ascii="宋体" w:hAnsi="宋体" w:eastAsia="宋体" w:cs="宋体"/>
                      <w:b w:val="0"/>
                      <w:bCs w:val="0"/>
                      <w:color w:val="auto"/>
                      <w:w w:val="100"/>
                      <w:kern w:val="2"/>
                      <w:sz w:val="21"/>
                      <w:szCs w:val="21"/>
                      <w:highlight w:val="none"/>
                      <w:lang w:val="en-US" w:eastAsia="zh-CN" w:bidi="ar-SA"/>
                    </w:rPr>
                  </w:pPr>
                </w:p>
              </w:tc>
            </w:tr>
          </w:tbl>
          <w:p>
            <w:pPr>
              <w:widowControl/>
              <w:numPr>
                <w:ilvl w:val="-1"/>
                <w:numId w:val="0"/>
              </w:numPr>
              <w:spacing w:line="360" w:lineRule="auto"/>
              <w:jc w:val="left"/>
              <w:textAlignment w:val="auto"/>
              <w:rPr>
                <w:rFonts w:hint="eastAsia" w:ascii="Times New Roman" w:hAnsi="Times New Roman" w:cs="Times New Roman"/>
                <w:color w:val="auto"/>
                <w:sz w:val="21"/>
                <w:szCs w:val="21"/>
                <w:highlight w:val="none"/>
              </w:rPr>
            </w:pPr>
          </w:p>
          <w:p>
            <w:pPr>
              <w:widowControl/>
              <w:numPr>
                <w:ilvl w:val="-1"/>
                <w:numId w:val="0"/>
              </w:numPr>
              <w:spacing w:line="360" w:lineRule="auto"/>
              <w:jc w:val="left"/>
              <w:textAlignment w:val="auto"/>
              <w:rPr>
                <w:rFonts w:hint="eastAsia" w:ascii="Times New Roman" w:hAnsi="Times New Roman" w:cs="Times New Roman"/>
                <w:color w:val="auto"/>
                <w:sz w:val="21"/>
                <w:szCs w:val="21"/>
                <w:highlight w:val="none"/>
              </w:rPr>
            </w:pPr>
          </w:p>
          <w:p>
            <w:pPr>
              <w:widowControl/>
              <w:numPr>
                <w:ilvl w:val="-1"/>
                <w:numId w:val="0"/>
              </w:numPr>
              <w:spacing w:line="360" w:lineRule="auto"/>
              <w:jc w:val="left"/>
              <w:textAlignment w:val="auto"/>
              <w:rPr>
                <w:rFonts w:hint="eastAsia" w:ascii="Times New Roman" w:hAnsi="Times New Roman" w:cs="Times New Roman"/>
                <w:color w:val="auto"/>
                <w:sz w:val="21"/>
                <w:szCs w:val="21"/>
                <w:highlight w:val="none"/>
              </w:rPr>
            </w:pPr>
          </w:p>
          <w:p>
            <w:pPr>
              <w:widowControl/>
              <w:numPr>
                <w:ilvl w:val="-1"/>
                <w:numId w:val="0"/>
              </w:numPr>
              <w:spacing w:line="360" w:lineRule="auto"/>
              <w:jc w:val="left"/>
              <w:textAlignment w:val="auto"/>
              <w:rPr>
                <w:rFonts w:hint="eastAsia" w:ascii="Times New Roman" w:hAnsi="Times New Roman" w:cs="Times New Roman"/>
                <w:color w:val="auto"/>
                <w:sz w:val="21"/>
                <w:szCs w:val="21"/>
                <w:highlight w:val="none"/>
              </w:rPr>
            </w:pPr>
          </w:p>
          <w:p>
            <w:pPr>
              <w:widowControl/>
              <w:numPr>
                <w:ilvl w:val="-1"/>
                <w:numId w:val="0"/>
              </w:numPr>
              <w:spacing w:line="360" w:lineRule="auto"/>
              <w:jc w:val="left"/>
              <w:textAlignment w:val="auto"/>
              <w:rPr>
                <w:rFonts w:hint="eastAsia" w:ascii="Times New Roman" w:hAnsi="Times New Roman" w:cs="Times New Roman"/>
                <w:color w:val="auto"/>
                <w:sz w:val="21"/>
                <w:szCs w:val="21"/>
                <w:highlight w:val="none"/>
              </w:rPr>
            </w:pPr>
          </w:p>
          <w:p>
            <w:pPr>
              <w:widowControl/>
              <w:numPr>
                <w:ilvl w:val="-1"/>
                <w:numId w:val="0"/>
              </w:numPr>
              <w:spacing w:line="360" w:lineRule="auto"/>
              <w:jc w:val="left"/>
              <w:textAlignment w:val="auto"/>
              <w:rPr>
                <w:rFonts w:hint="eastAsia" w:ascii="Times New Roman" w:hAnsi="Times New Roman" w:cs="Times New Roman"/>
                <w:color w:val="auto"/>
                <w:sz w:val="21"/>
                <w:szCs w:val="21"/>
                <w:highlight w:val="none"/>
              </w:rPr>
            </w:pPr>
          </w:p>
          <w:p>
            <w:pPr>
              <w:widowControl/>
              <w:numPr>
                <w:ilvl w:val="-1"/>
                <w:numId w:val="0"/>
              </w:numPr>
              <w:spacing w:line="360" w:lineRule="auto"/>
              <w:jc w:val="left"/>
              <w:textAlignment w:val="auto"/>
              <w:rPr>
                <w:rFonts w:hint="eastAsia" w:ascii="Times New Roman" w:hAnsi="Times New Roman" w:cs="Times New Roman"/>
                <w:color w:val="auto"/>
                <w:sz w:val="21"/>
                <w:szCs w:val="21"/>
                <w:highlight w:val="none"/>
              </w:rPr>
            </w:pPr>
          </w:p>
          <w:p>
            <w:pPr>
              <w:widowControl/>
              <w:numPr>
                <w:ilvl w:val="-1"/>
                <w:numId w:val="0"/>
              </w:numPr>
              <w:spacing w:line="360" w:lineRule="auto"/>
              <w:jc w:val="left"/>
              <w:textAlignment w:val="auto"/>
              <w:rPr>
                <w:rFonts w:hint="eastAsia" w:ascii="Times New Roman" w:hAnsi="Times New Roman" w:cs="Times New Roman"/>
                <w:color w:val="auto"/>
                <w:sz w:val="24"/>
                <w:szCs w:val="24"/>
                <w:highlight w:val="none"/>
              </w:rPr>
            </w:pPr>
          </w:p>
          <w:p>
            <w:pPr>
              <w:widowControl/>
              <w:numPr>
                <w:ilvl w:val="-1"/>
                <w:numId w:val="0"/>
              </w:numPr>
              <w:spacing w:line="360" w:lineRule="auto"/>
              <w:jc w:val="left"/>
              <w:textAlignment w:val="auto"/>
              <w:rPr>
                <w:rFonts w:hint="eastAsia" w:ascii="Times New Roman" w:hAnsi="Times New Roman" w:cs="Times New Roman"/>
                <w:color w:val="auto"/>
                <w:sz w:val="24"/>
                <w:szCs w:val="24"/>
                <w:highlight w:val="none"/>
              </w:rPr>
            </w:pPr>
          </w:p>
          <w:p>
            <w:pPr>
              <w:widowControl/>
              <w:numPr>
                <w:ilvl w:val="-1"/>
                <w:numId w:val="0"/>
              </w:numPr>
              <w:spacing w:line="360" w:lineRule="auto"/>
              <w:jc w:val="left"/>
              <w:textAlignment w:val="auto"/>
              <w:rPr>
                <w:rFonts w:hint="eastAsia" w:ascii="Times New Roman" w:hAnsi="Times New Roman" w:cs="Times New Roman"/>
                <w:color w:val="auto"/>
                <w:sz w:val="24"/>
                <w:szCs w:val="24"/>
                <w:highlight w:val="none"/>
              </w:rPr>
            </w:pPr>
          </w:p>
          <w:p>
            <w:pPr>
              <w:widowControl/>
              <w:numPr>
                <w:ilvl w:val="-1"/>
                <w:numId w:val="0"/>
              </w:numPr>
              <w:spacing w:line="360" w:lineRule="auto"/>
              <w:jc w:val="left"/>
              <w:textAlignment w:val="auto"/>
              <w:rPr>
                <w:rFonts w:hint="eastAsia" w:ascii="Times New Roman" w:hAnsi="Times New Roman" w:cs="Times New Roman"/>
                <w:color w:val="auto"/>
                <w:sz w:val="24"/>
                <w:szCs w:val="24"/>
                <w:highlight w:val="none"/>
              </w:rPr>
            </w:pPr>
          </w:p>
          <w:p>
            <w:pPr>
              <w:widowControl/>
              <w:numPr>
                <w:ilvl w:val="-1"/>
                <w:numId w:val="0"/>
              </w:numPr>
              <w:spacing w:line="360" w:lineRule="auto"/>
              <w:jc w:val="left"/>
              <w:textAlignment w:val="auto"/>
              <w:rPr>
                <w:rFonts w:hint="eastAsia" w:ascii="宋体" w:hAnsi="宋体" w:cs="宋体"/>
                <w:color w:val="auto"/>
                <w:kern w:val="0"/>
                <w:sz w:val="18"/>
                <w:szCs w:val="18"/>
                <w:highlight w:val="none"/>
                <w:u w:val="none"/>
                <w:lang w:val="en-US" w:eastAsia="zh-CN" w:bidi="ar"/>
              </w:rPr>
            </w:pPr>
            <w:r>
              <w:rPr>
                <w:rFonts w:hint="eastAsia" w:ascii="Times New Roman" w:hAnsi="Times New Roman" w:cs="Times New Roman"/>
                <w:color w:val="auto"/>
                <w:sz w:val="24"/>
                <w:szCs w:val="24"/>
                <w:highlight w:val="none"/>
              </w:rPr>
              <w:t>注：</w:t>
            </w:r>
            <w:r>
              <w:rPr>
                <w:rFonts w:hint="eastAsia" w:ascii="Times New Roman" w:hAnsi="Times New Roman" w:cs="Times New Roman"/>
                <w:color w:val="auto"/>
                <w:sz w:val="24"/>
                <w:szCs w:val="24"/>
                <w:highlight w:val="none"/>
                <w:lang w:val="en-US" w:eastAsia="zh-CN"/>
              </w:rPr>
              <w:t>本表所列机械设备为满足实际施工需要的</w:t>
            </w:r>
            <w:r>
              <w:rPr>
                <w:rFonts w:hint="eastAsia" w:cs="Times New Roman"/>
                <w:color w:val="auto"/>
                <w:sz w:val="24"/>
                <w:szCs w:val="24"/>
                <w:highlight w:val="none"/>
                <w:lang w:val="en-US" w:eastAsia="zh-CN"/>
              </w:rPr>
              <w:t>基本要求</w:t>
            </w:r>
            <w:r>
              <w:rPr>
                <w:rFonts w:hint="eastAsia" w:ascii="Times New Roman" w:hAnsi="Times New Roman" w:cs="Times New Roman"/>
                <w:color w:val="auto"/>
                <w:sz w:val="24"/>
                <w:szCs w:val="24"/>
                <w:highlight w:val="none"/>
                <w:lang w:val="en-US" w:eastAsia="zh-CN"/>
              </w:rPr>
              <w:t>。若招标人认为投标人配备的机械设备不能满足现场施工的需要，或不能保证工程质量和进度时，招标人有权要求投标人增加或更换设备、仪器。</w:t>
            </w:r>
          </w:p>
        </w:tc>
      </w:tr>
    </w:tbl>
    <w:p>
      <w:pPr>
        <w:pStyle w:val="2"/>
        <w:rPr>
          <w:rFonts w:hint="eastAsia" w:ascii="仿宋_GB2312" w:hAnsi="仿宋_GB2312" w:eastAsia="仿宋_GB2312" w:cs="仿宋_GB2312"/>
          <w:b/>
          <w:bCs/>
          <w:sz w:val="28"/>
          <w:szCs w:val="28"/>
        </w:rPr>
      </w:pPr>
    </w:p>
    <w:bookmarkEnd w:id="0"/>
    <w:bookmarkEnd w:id="1"/>
    <w:bookmarkEnd w:id="2"/>
    <w:bookmarkEnd w:id="3"/>
    <w:bookmarkEnd w:id="4"/>
    <w:bookmarkEnd w:id="5"/>
    <w:bookmarkEnd w:id="6"/>
    <w:bookmarkEnd w:id="7"/>
    <w:bookmarkEnd w:id="8"/>
    <w:bookmarkEnd w:id="9"/>
    <w:p>
      <w:pPr>
        <w:rPr>
          <w:rFonts w:hint="default"/>
          <w:lang w:val="en-US" w:eastAsia="zh-CN"/>
        </w:rPr>
      </w:pPr>
    </w:p>
    <w:sectPr>
      <w:footerReference r:id="rId6" w:type="default"/>
      <w:pgSz w:w="11906" w:h="16838"/>
      <w:pgMar w:top="1440" w:right="1519" w:bottom="1440" w:left="1800" w:header="708" w:footer="709" w:gutter="0"/>
      <w:pgBorders>
        <w:top w:val="none" w:sz="0" w:space="0"/>
        <w:left w:val="none" w:sz="0" w:space="0"/>
        <w:bottom w:val="none" w:sz="0" w:space="0"/>
        <w:right w:val="none" w:sz="0" w:space="0"/>
      </w:pgBorders>
      <w:pgNumType w:fmt="decimal"/>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魏碑简体">
    <w:altName w:val="宋体"/>
    <w:panose1 w:val="00000000000000000000"/>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GLwM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cGLwMoBAACbAwAADgAAAAAAAAABACAAAAAeAQAAZHJzL2Uyb0Rv&#10;Yy54bWxQSwUGAAAAAAYABgBZAQAAWgUAAAAA&#10;">
              <v:fill on="f" focussize="0,0"/>
              <v:stroke on="f"/>
              <v:imagedata o:title=""/>
              <o:lock v:ext="edit" aspectratio="f"/>
              <v:textbox inset="0mm,0mm,0mm,0mm" style="mso-fit-shape-to-text:t;">
                <w:txbxContent>
                  <w:p>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v:textbox>
            </v:shape>
          </w:pict>
        </mc:Fallback>
      </mc:AlternateContent>
    </w:r>
  </w:p>
  <w:p>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0869"/>
    <w:rsid w:val="015D6690"/>
    <w:rsid w:val="019B2A05"/>
    <w:rsid w:val="02337A21"/>
    <w:rsid w:val="02CD385B"/>
    <w:rsid w:val="03103A83"/>
    <w:rsid w:val="03942B52"/>
    <w:rsid w:val="04390883"/>
    <w:rsid w:val="05B50191"/>
    <w:rsid w:val="05E735E0"/>
    <w:rsid w:val="05FA1920"/>
    <w:rsid w:val="071063C4"/>
    <w:rsid w:val="07752F60"/>
    <w:rsid w:val="080E4F67"/>
    <w:rsid w:val="083253E5"/>
    <w:rsid w:val="08F65D51"/>
    <w:rsid w:val="0900021D"/>
    <w:rsid w:val="09394483"/>
    <w:rsid w:val="09765BE1"/>
    <w:rsid w:val="0A4A0E0E"/>
    <w:rsid w:val="0C2F0DDE"/>
    <w:rsid w:val="0C7972EC"/>
    <w:rsid w:val="0DF1128F"/>
    <w:rsid w:val="0E6A4BD1"/>
    <w:rsid w:val="0E72202E"/>
    <w:rsid w:val="0EB26CAA"/>
    <w:rsid w:val="0F19655B"/>
    <w:rsid w:val="10787ABB"/>
    <w:rsid w:val="10792AB1"/>
    <w:rsid w:val="10851707"/>
    <w:rsid w:val="11C44C08"/>
    <w:rsid w:val="120F24FC"/>
    <w:rsid w:val="130E14A7"/>
    <w:rsid w:val="131B71FF"/>
    <w:rsid w:val="13CD51AE"/>
    <w:rsid w:val="13CD6E9C"/>
    <w:rsid w:val="13EE36B6"/>
    <w:rsid w:val="14B849AA"/>
    <w:rsid w:val="14D030E0"/>
    <w:rsid w:val="15593ED0"/>
    <w:rsid w:val="15C56053"/>
    <w:rsid w:val="15F767E5"/>
    <w:rsid w:val="16311410"/>
    <w:rsid w:val="164E14C8"/>
    <w:rsid w:val="17054FF4"/>
    <w:rsid w:val="173F3936"/>
    <w:rsid w:val="174D74FF"/>
    <w:rsid w:val="18B2045C"/>
    <w:rsid w:val="1991765E"/>
    <w:rsid w:val="1A924AF7"/>
    <w:rsid w:val="1B1717BD"/>
    <w:rsid w:val="1C91655A"/>
    <w:rsid w:val="1D2A4B88"/>
    <w:rsid w:val="1DB143DC"/>
    <w:rsid w:val="1E2F1C6C"/>
    <w:rsid w:val="1E382B2B"/>
    <w:rsid w:val="1E83343C"/>
    <w:rsid w:val="1F4D71AC"/>
    <w:rsid w:val="1F7E57E9"/>
    <w:rsid w:val="1F833CB0"/>
    <w:rsid w:val="1F9E5F4A"/>
    <w:rsid w:val="1FDD2E47"/>
    <w:rsid w:val="202500D8"/>
    <w:rsid w:val="21374003"/>
    <w:rsid w:val="222B4CF1"/>
    <w:rsid w:val="22A31DE5"/>
    <w:rsid w:val="22D10868"/>
    <w:rsid w:val="231851DF"/>
    <w:rsid w:val="237513BF"/>
    <w:rsid w:val="23A60768"/>
    <w:rsid w:val="23E84398"/>
    <w:rsid w:val="24B50D77"/>
    <w:rsid w:val="25922534"/>
    <w:rsid w:val="25F63E56"/>
    <w:rsid w:val="27996168"/>
    <w:rsid w:val="2804666C"/>
    <w:rsid w:val="280500C0"/>
    <w:rsid w:val="281C4A11"/>
    <w:rsid w:val="28C24096"/>
    <w:rsid w:val="28D55F37"/>
    <w:rsid w:val="291A10CE"/>
    <w:rsid w:val="29E5409A"/>
    <w:rsid w:val="2AF15E34"/>
    <w:rsid w:val="2B986EAD"/>
    <w:rsid w:val="2C7557E4"/>
    <w:rsid w:val="2DCA4BFF"/>
    <w:rsid w:val="2DFE26D1"/>
    <w:rsid w:val="2E7F5213"/>
    <w:rsid w:val="2E9101A9"/>
    <w:rsid w:val="2ED1271F"/>
    <w:rsid w:val="2EE6543E"/>
    <w:rsid w:val="2F402D1D"/>
    <w:rsid w:val="30372C53"/>
    <w:rsid w:val="316823C6"/>
    <w:rsid w:val="322022E9"/>
    <w:rsid w:val="327B4CD3"/>
    <w:rsid w:val="32826B8E"/>
    <w:rsid w:val="32E56359"/>
    <w:rsid w:val="33AD0237"/>
    <w:rsid w:val="33BB7658"/>
    <w:rsid w:val="346C48FC"/>
    <w:rsid w:val="348E08F6"/>
    <w:rsid w:val="34DA2D20"/>
    <w:rsid w:val="352A08C5"/>
    <w:rsid w:val="356F00A4"/>
    <w:rsid w:val="35A14A00"/>
    <w:rsid w:val="35A226EC"/>
    <w:rsid w:val="35E85376"/>
    <w:rsid w:val="36371DB0"/>
    <w:rsid w:val="36503E40"/>
    <w:rsid w:val="36537CB0"/>
    <w:rsid w:val="36646C0C"/>
    <w:rsid w:val="36E82167"/>
    <w:rsid w:val="3704357A"/>
    <w:rsid w:val="37110A8B"/>
    <w:rsid w:val="37456AAE"/>
    <w:rsid w:val="37992CFF"/>
    <w:rsid w:val="38830332"/>
    <w:rsid w:val="39CE5838"/>
    <w:rsid w:val="3A1E4591"/>
    <w:rsid w:val="3B320185"/>
    <w:rsid w:val="3BB63669"/>
    <w:rsid w:val="3BE10F8F"/>
    <w:rsid w:val="3C1E13D2"/>
    <w:rsid w:val="3D6530F2"/>
    <w:rsid w:val="3E166D6D"/>
    <w:rsid w:val="3E7D10B7"/>
    <w:rsid w:val="3F257515"/>
    <w:rsid w:val="3F520F42"/>
    <w:rsid w:val="3FA631A6"/>
    <w:rsid w:val="40CA4096"/>
    <w:rsid w:val="411B5918"/>
    <w:rsid w:val="411C7B0B"/>
    <w:rsid w:val="4196745E"/>
    <w:rsid w:val="41CC3811"/>
    <w:rsid w:val="41E605A6"/>
    <w:rsid w:val="43714DED"/>
    <w:rsid w:val="437B2D4C"/>
    <w:rsid w:val="44657530"/>
    <w:rsid w:val="44E7604C"/>
    <w:rsid w:val="45002C9A"/>
    <w:rsid w:val="46491047"/>
    <w:rsid w:val="46E46628"/>
    <w:rsid w:val="480A1DDE"/>
    <w:rsid w:val="4A092D75"/>
    <w:rsid w:val="4A665DEF"/>
    <w:rsid w:val="4A6C4E62"/>
    <w:rsid w:val="4A9304E9"/>
    <w:rsid w:val="4AFF2F72"/>
    <w:rsid w:val="4B544300"/>
    <w:rsid w:val="4BC52083"/>
    <w:rsid w:val="4CA069A0"/>
    <w:rsid w:val="4E2673B1"/>
    <w:rsid w:val="4E2A406E"/>
    <w:rsid w:val="4E6807E5"/>
    <w:rsid w:val="4F424E49"/>
    <w:rsid w:val="503C4AF2"/>
    <w:rsid w:val="50757D9B"/>
    <w:rsid w:val="518448B1"/>
    <w:rsid w:val="52EF5151"/>
    <w:rsid w:val="53216631"/>
    <w:rsid w:val="545D5D07"/>
    <w:rsid w:val="56827D4B"/>
    <w:rsid w:val="56D42F12"/>
    <w:rsid w:val="580125C2"/>
    <w:rsid w:val="583B1AE5"/>
    <w:rsid w:val="58AC3CF1"/>
    <w:rsid w:val="595A0B96"/>
    <w:rsid w:val="59A10711"/>
    <w:rsid w:val="5A1740C2"/>
    <w:rsid w:val="5A1912CF"/>
    <w:rsid w:val="5A211BBC"/>
    <w:rsid w:val="5AA56724"/>
    <w:rsid w:val="5C051C07"/>
    <w:rsid w:val="5C7A0C0A"/>
    <w:rsid w:val="5D0225ED"/>
    <w:rsid w:val="5D4C276F"/>
    <w:rsid w:val="5D4D7041"/>
    <w:rsid w:val="5D8716E9"/>
    <w:rsid w:val="5DBF6212"/>
    <w:rsid w:val="5DD726C3"/>
    <w:rsid w:val="5E0C3B88"/>
    <w:rsid w:val="5E630BBD"/>
    <w:rsid w:val="5E9E0AE6"/>
    <w:rsid w:val="5EED2285"/>
    <w:rsid w:val="5F4A730D"/>
    <w:rsid w:val="5F536C1C"/>
    <w:rsid w:val="60D1614E"/>
    <w:rsid w:val="61622299"/>
    <w:rsid w:val="624F20E0"/>
    <w:rsid w:val="62534C1E"/>
    <w:rsid w:val="62877E67"/>
    <w:rsid w:val="62BC57EF"/>
    <w:rsid w:val="646F3F20"/>
    <w:rsid w:val="651B5057"/>
    <w:rsid w:val="6578753D"/>
    <w:rsid w:val="66EB1CF0"/>
    <w:rsid w:val="670542F3"/>
    <w:rsid w:val="69933C9E"/>
    <w:rsid w:val="69E50D82"/>
    <w:rsid w:val="6B1845D8"/>
    <w:rsid w:val="6B433F6C"/>
    <w:rsid w:val="6C2F35AA"/>
    <w:rsid w:val="6CEC0EB8"/>
    <w:rsid w:val="6E2C325E"/>
    <w:rsid w:val="6E947BB6"/>
    <w:rsid w:val="6EBC1DD0"/>
    <w:rsid w:val="6F986451"/>
    <w:rsid w:val="7068495B"/>
    <w:rsid w:val="70A16027"/>
    <w:rsid w:val="71FE508A"/>
    <w:rsid w:val="731154E9"/>
    <w:rsid w:val="738C4658"/>
    <w:rsid w:val="74104009"/>
    <w:rsid w:val="742C2B17"/>
    <w:rsid w:val="74C15E09"/>
    <w:rsid w:val="750210E9"/>
    <w:rsid w:val="755E30AD"/>
    <w:rsid w:val="771B738B"/>
    <w:rsid w:val="773F6985"/>
    <w:rsid w:val="783869EA"/>
    <w:rsid w:val="7864531F"/>
    <w:rsid w:val="798515A7"/>
    <w:rsid w:val="79983C45"/>
    <w:rsid w:val="79DE5A44"/>
    <w:rsid w:val="7A417524"/>
    <w:rsid w:val="7A9F3BB1"/>
    <w:rsid w:val="7AC212A6"/>
    <w:rsid w:val="7B12648A"/>
    <w:rsid w:val="7C34322A"/>
    <w:rsid w:val="7CA15BA2"/>
    <w:rsid w:val="7E2141F0"/>
    <w:rsid w:val="7E2B5FFF"/>
    <w:rsid w:val="7E7B41B6"/>
    <w:rsid w:val="7EED0B2F"/>
    <w:rsid w:val="7F5632EB"/>
    <w:rsid w:val="7FB36BF7"/>
    <w:rsid w:val="7FDA4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7"/>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26"/>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9"/>
    <w:basedOn w:val="1"/>
    <w:next w:val="1"/>
    <w:qFormat/>
    <w:uiPriority w:val="1"/>
    <w:pPr>
      <w:spacing w:before="43"/>
      <w:ind w:right="97"/>
      <w:outlineLvl w:val="9"/>
    </w:pPr>
    <w:rPr>
      <w:rFonts w:ascii="黑体" w:hAnsi="黑体" w:eastAsia="黑体" w:cs="黑体"/>
      <w:sz w:val="32"/>
      <w:szCs w:val="32"/>
      <w:lang w:val="zh-CN" w:eastAsia="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8">
    <w:name w:val="Body Text"/>
    <w:basedOn w:val="1"/>
    <w:next w:val="1"/>
    <w:qFormat/>
    <w:uiPriority w:val="0"/>
    <w:pPr>
      <w:spacing w:after="120"/>
    </w:pPr>
    <w:rPr>
      <w:rFonts w:eastAsia="微软雅黑"/>
      <w:szCs w:val="24"/>
    </w:rPr>
  </w:style>
  <w:style w:type="paragraph" w:styleId="9">
    <w:name w:val="Body Text Indent"/>
    <w:basedOn w:val="1"/>
    <w:qFormat/>
    <w:uiPriority w:val="0"/>
    <w:pPr>
      <w:spacing w:after="120"/>
      <w:ind w:left="420" w:leftChars="200"/>
    </w:pPr>
    <w:rPr>
      <w:rFonts w:eastAsia="微软雅黑"/>
      <w:szCs w:val="24"/>
    </w:rPr>
  </w:style>
  <w:style w:type="paragraph" w:styleId="10">
    <w:name w:val="Plain Text"/>
    <w:basedOn w:val="1"/>
    <w:qFormat/>
    <w:uiPriority w:val="0"/>
    <w:rPr>
      <w:rFonts w:ascii="宋体" w:hAnsi="Courier New"/>
      <w:szCs w:val="21"/>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14">
    <w:name w:val="Title"/>
    <w:basedOn w:val="1"/>
    <w:next w:val="1"/>
    <w:qFormat/>
    <w:uiPriority w:val="0"/>
    <w:pPr>
      <w:spacing w:before="240" w:after="60"/>
      <w:jc w:val="center"/>
      <w:outlineLvl w:val="0"/>
    </w:pPr>
    <w:rPr>
      <w:rFonts w:ascii="Cambria" w:hAnsi="Cambria" w:cs="Times New Roman"/>
      <w:b/>
      <w:bCs/>
      <w:sz w:val="32"/>
      <w:szCs w:val="32"/>
    </w:rPr>
  </w:style>
  <w:style w:type="paragraph" w:styleId="15">
    <w:name w:val="Body Text First Indent 2"/>
    <w:basedOn w:val="9"/>
    <w:qFormat/>
    <w:uiPriority w:val="0"/>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p0"/>
    <w:basedOn w:val="1"/>
    <w:qFormat/>
    <w:uiPriority w:val="99"/>
    <w:pPr>
      <w:widowControl/>
      <w:jc w:val="left"/>
    </w:pPr>
    <w:rPr>
      <w:rFonts w:cs="宋体"/>
      <w:kern w:val="0"/>
      <w:szCs w:val="21"/>
    </w:rPr>
  </w:style>
  <w:style w:type="paragraph" w:customStyle="1" w:styleId="21">
    <w:name w:val="Table Paragraph"/>
    <w:basedOn w:val="1"/>
    <w:qFormat/>
    <w:uiPriority w:val="1"/>
    <w:rPr>
      <w:rFonts w:ascii="宋体" w:hAnsi="宋体" w:eastAsia="宋体" w:cs="宋体"/>
      <w:lang w:val="zh-CN" w:eastAsia="zh-CN" w:bidi="zh-CN"/>
    </w:rPr>
  </w:style>
  <w:style w:type="paragraph" w:customStyle="1" w:styleId="22">
    <w:name w:val="列出段落1"/>
    <w:basedOn w:val="1"/>
    <w:qFormat/>
    <w:uiPriority w:val="0"/>
    <w:pPr>
      <w:ind w:firstLine="420" w:firstLineChars="200"/>
    </w:pPr>
  </w:style>
  <w:style w:type="paragraph" w:customStyle="1" w:styleId="23">
    <w:name w:val="大标题"/>
    <w:basedOn w:val="1"/>
    <w:qFormat/>
    <w:uiPriority w:val="99"/>
    <w:pPr>
      <w:spacing w:beforeLines="100" w:afterLines="50"/>
      <w:jc w:val="center"/>
    </w:pPr>
    <w:rPr>
      <w:rFonts w:ascii="Times New Roman" w:hAnsi="Times New Roman" w:eastAsia="方正魏碑简体"/>
      <w:bCs/>
      <w:spacing w:val="20"/>
      <w:sz w:val="72"/>
      <w:szCs w:val="24"/>
    </w:rPr>
  </w:style>
  <w:style w:type="paragraph" w:customStyle="1" w:styleId="24">
    <w:name w:val="文中正文"/>
    <w:basedOn w:val="1"/>
    <w:qFormat/>
    <w:uiPriority w:val="99"/>
    <w:pPr>
      <w:ind w:firstLine="640" w:firstLineChars="200"/>
    </w:pPr>
    <w:rPr>
      <w:rFonts w:ascii="Times New Roman" w:hAnsi="Times New Roman" w:eastAsia="方正楷体简体"/>
      <w:bCs/>
      <w:spacing w:val="20"/>
      <w:sz w:val="28"/>
      <w:szCs w:val="24"/>
    </w:rPr>
  </w:style>
  <w:style w:type="character" w:customStyle="1" w:styleId="25">
    <w:name w:val="标题 2 Char"/>
    <w:link w:val="4"/>
    <w:qFormat/>
    <w:uiPriority w:val="0"/>
    <w:rPr>
      <w:rFonts w:ascii="Arial" w:hAnsi="Arial" w:eastAsia="黑体"/>
      <w:b/>
      <w:sz w:val="32"/>
      <w:szCs w:val="20"/>
    </w:rPr>
  </w:style>
  <w:style w:type="character" w:customStyle="1" w:styleId="26">
    <w:name w:val="标题 3 Char"/>
    <w:link w:val="5"/>
    <w:qFormat/>
    <w:uiPriority w:val="0"/>
    <w:rPr>
      <w:b/>
      <w:sz w:val="32"/>
    </w:rPr>
  </w:style>
  <w:style w:type="character" w:customStyle="1" w:styleId="27">
    <w:name w:val="标题 1 Char"/>
    <w:link w:val="3"/>
    <w:qFormat/>
    <w:uiPriority w:val="9"/>
    <w:rPr>
      <w:b/>
      <w:kern w:val="44"/>
      <w:sz w:val="44"/>
    </w:rPr>
  </w:style>
  <w:style w:type="paragraph" w:customStyle="1" w:styleId="28">
    <w:name w:val="Table of contents|1"/>
    <w:basedOn w:val="1"/>
    <w:qFormat/>
    <w:uiPriority w:val="0"/>
    <w:pPr>
      <w:widowControl w:val="0"/>
      <w:shd w:val="clear" w:color="auto" w:fill="auto"/>
      <w:spacing w:after="80"/>
      <w:ind w:firstLine="38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2020-08-20T14:09:00Z</dcterms:created>
  <dc:creator>lenovo</dc:creator>
  <cp:lastModifiedBy>Sensual</cp:lastModifiedBy>
  <cp:lastPrinted>2021-08-09T06:47:00Z</cp:lastPrinted>
  <dcterms:modified xsi:type="dcterms:W3CDTF">2021-10-11T06:42:04Z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486DA24DC1634A3F8A44798D14547E76</vt:lpwstr>
  </property>
  <property fmtid="{D5CDD505-2E9C-101B-9397-08002B2CF9AE}" pid="4" name="KSOSaveFontToCloudKey">
    <vt:lpwstr>445318166_btnclosed</vt:lpwstr>
  </property>
</Properties>
</file>