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ind w:firstLine="0"/>
        <w:rPr>
          <w:rFonts w:ascii="仿宋_GB2312" w:hAnsi="仿宋_GB2312" w:eastAsia="仿宋_GB2312" w:cs="仿宋_GB2312"/>
          <w:b/>
          <w:kern w:val="10"/>
          <w:sz w:val="44"/>
          <w:szCs w:val="44"/>
        </w:rPr>
      </w:pPr>
      <w:bookmarkStart w:id="0" w:name="_Toc17659_WPSOffice_Type1"/>
    </w:p>
    <w:p>
      <w:pPr>
        <w:tabs>
          <w:tab w:val="left" w:pos="3480"/>
          <w:tab w:val="left" w:pos="4520"/>
          <w:tab w:val="left" w:pos="5560"/>
        </w:tabs>
        <w:autoSpaceDE w:val="0"/>
        <w:autoSpaceDN w:val="0"/>
        <w:adjustRightInd w:val="0"/>
        <w:spacing w:line="360" w:lineRule="auto"/>
        <w:jc w:val="center"/>
        <w:rPr>
          <w:rFonts w:ascii="宋体" w:hAnsi="宋体" w:cs="宋体"/>
          <w:b/>
          <w:sz w:val="48"/>
          <w:szCs w:val="48"/>
        </w:rPr>
      </w:pPr>
      <w:r>
        <w:rPr>
          <w:rFonts w:hint="eastAsia" w:ascii="宋体" w:hAnsi="宋体" w:cs="宋体"/>
          <w:b/>
          <w:spacing w:val="-20"/>
          <w:sz w:val="48"/>
          <w:szCs w:val="48"/>
        </w:rPr>
        <w:t>雅西高速公路铁寨子1#桥下边坡地质灾害处治工程</w:t>
      </w:r>
      <w:r>
        <w:rPr>
          <w:rFonts w:hint="eastAsia" w:ascii="宋体" w:hAnsi="宋体" w:cs="宋体"/>
          <w:b/>
          <w:sz w:val="48"/>
          <w:szCs w:val="48"/>
        </w:rPr>
        <w:t xml:space="preserve">施工分包项目 </w:t>
      </w: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bCs/>
          <w:sz w:val="72"/>
          <w:szCs w:val="72"/>
        </w:rPr>
      </w:pPr>
      <w:r>
        <w:rPr>
          <w:rFonts w:hint="eastAsia" w:ascii="宋体" w:hAnsi="宋体" w:cs="宋体"/>
          <w:b/>
          <w:bCs/>
          <w:sz w:val="72"/>
          <w:szCs w:val="72"/>
        </w:rPr>
        <w:t>招  标  文  件</w:t>
      </w:r>
    </w:p>
    <w:p>
      <w:pPr>
        <w:jc w:val="center"/>
        <w:rPr>
          <w:rFonts w:ascii="宋体" w:hAnsi="宋体" w:cs="宋体"/>
          <w:b/>
          <w:bCs/>
          <w:sz w:val="36"/>
          <w:szCs w:val="36"/>
        </w:rPr>
      </w:pPr>
    </w:p>
    <w:p>
      <w:pPr>
        <w:ind w:firstLine="2168" w:firstLineChars="600"/>
        <w:rPr>
          <w:rFonts w:ascii="宋体" w:hAnsi="宋体" w:cs="宋体"/>
          <w:b/>
          <w:bCs/>
          <w:sz w:val="36"/>
          <w:szCs w:val="36"/>
        </w:rPr>
      </w:pPr>
    </w:p>
    <w:p>
      <w:pPr>
        <w:rPr>
          <w:rFonts w:ascii="宋体" w:hAnsi="宋体" w:cs="宋体"/>
          <w:b/>
          <w:bCs/>
          <w:sz w:val="36"/>
          <w:szCs w:val="36"/>
        </w:rPr>
      </w:pPr>
    </w:p>
    <w:p>
      <w:pPr>
        <w:rPr>
          <w:rFonts w:ascii="宋体" w:hAnsi="宋体" w:cs="宋体"/>
          <w:b/>
          <w:bCs/>
          <w:sz w:val="36"/>
          <w:szCs w:val="36"/>
        </w:rPr>
      </w:pPr>
    </w:p>
    <w:p>
      <w:pPr>
        <w:pStyle w:val="28"/>
        <w:rPr>
          <w:rFonts w:ascii="宋体" w:hAnsi="宋体" w:cs="宋体"/>
          <w:b/>
          <w:bCs/>
          <w:sz w:val="36"/>
          <w:szCs w:val="36"/>
        </w:rPr>
      </w:pPr>
    </w:p>
    <w:p>
      <w:pPr>
        <w:rPr>
          <w:rFonts w:ascii="宋体" w:hAnsi="宋体" w:cs="宋体"/>
          <w:b/>
          <w:bCs/>
          <w:sz w:val="36"/>
          <w:szCs w:val="36"/>
        </w:rPr>
      </w:pPr>
    </w:p>
    <w:p>
      <w:pPr>
        <w:jc w:val="center"/>
        <w:rPr>
          <w:rFonts w:ascii="宋体" w:hAnsi="宋体" w:cs="宋体"/>
          <w:b/>
          <w:bCs/>
          <w:sz w:val="36"/>
          <w:szCs w:val="36"/>
        </w:rPr>
      </w:pPr>
    </w:p>
    <w:p>
      <w:pPr>
        <w:jc w:val="center"/>
        <w:rPr>
          <w:rFonts w:ascii="宋体" w:hAnsi="宋体" w:cs="宋体"/>
          <w:b/>
          <w:bCs/>
          <w:sz w:val="36"/>
          <w:szCs w:val="36"/>
        </w:rPr>
      </w:pPr>
    </w:p>
    <w:p>
      <w:pPr>
        <w:jc w:val="center"/>
        <w:rPr>
          <w:rFonts w:ascii="宋体" w:hAnsi="宋体" w:cs="宋体"/>
          <w:b/>
          <w:bCs/>
          <w:sz w:val="36"/>
          <w:szCs w:val="36"/>
        </w:rPr>
      </w:pPr>
    </w:p>
    <w:p>
      <w:pPr>
        <w:jc w:val="center"/>
        <w:rPr>
          <w:rFonts w:ascii="宋体" w:hAnsi="宋体" w:cs="宋体"/>
          <w:b/>
          <w:bCs/>
          <w:sz w:val="36"/>
          <w:szCs w:val="36"/>
        </w:rPr>
      </w:pPr>
      <w:r>
        <w:rPr>
          <w:rFonts w:hint="eastAsia" w:ascii="宋体" w:hAnsi="宋体" w:cs="宋体"/>
          <w:b/>
          <w:bCs/>
          <w:sz w:val="36"/>
          <w:szCs w:val="36"/>
        </w:rPr>
        <w:t>招标人：四川省交通建设集团股份有限公司</w:t>
      </w:r>
    </w:p>
    <w:p>
      <w:pPr>
        <w:jc w:val="center"/>
        <w:rPr>
          <w:rFonts w:ascii="宋体" w:hAnsi="宋体" w:cs="宋体"/>
          <w:b/>
          <w:sz w:val="44"/>
          <w:szCs w:val="44"/>
        </w:rPr>
      </w:pPr>
      <w:r>
        <w:rPr>
          <w:rFonts w:hint="eastAsia" w:ascii="宋体" w:hAnsi="宋体" w:cs="宋体"/>
          <w:b/>
          <w:bCs/>
          <w:sz w:val="36"/>
          <w:szCs w:val="36"/>
        </w:rPr>
        <w:t>2021年9月</w:t>
      </w:r>
    </w:p>
    <w:p>
      <w:pPr>
        <w:jc w:val="center"/>
        <w:rPr>
          <w:rFonts w:ascii="微软雅黑" w:hAnsi="微软雅黑" w:eastAsia="微软雅黑" w:cs="微软雅黑"/>
          <w:b/>
          <w:bCs/>
          <w:sz w:val="32"/>
          <w:szCs w:val="32"/>
        </w:rPr>
      </w:pPr>
    </w:p>
    <w:p>
      <w:pPr>
        <w:jc w:val="center"/>
        <w:rPr>
          <w:rFonts w:ascii="微软雅黑" w:hAnsi="微软雅黑" w:eastAsia="微软雅黑" w:cs="微软雅黑"/>
          <w:b/>
          <w:bCs/>
          <w:sz w:val="32"/>
          <w:szCs w:val="32"/>
        </w:rPr>
      </w:pP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目   录</w:t>
      </w:r>
    </w:p>
    <w:p>
      <w:pPr>
        <w:pStyle w:val="28"/>
        <w:rPr>
          <w:rFonts w:ascii="微软雅黑" w:hAnsi="微软雅黑" w:eastAsia="微软雅黑" w:cs="微软雅黑"/>
          <w:b/>
          <w:bCs/>
          <w:sz w:val="32"/>
          <w:szCs w:val="32"/>
        </w:rPr>
      </w:pPr>
    </w:p>
    <w:p>
      <w:pPr>
        <w:pStyle w:val="28"/>
        <w:rPr>
          <w:rFonts w:ascii="微软雅黑" w:hAnsi="微软雅黑" w:eastAsia="微软雅黑" w:cs="微软雅黑"/>
          <w:b/>
          <w:bCs/>
          <w:sz w:val="32"/>
          <w:szCs w:val="32"/>
        </w:rPr>
      </w:pPr>
    </w:p>
    <w:p>
      <w:pPr>
        <w:pStyle w:val="29"/>
        <w:tabs>
          <w:tab w:val="right" w:leader="dot" w:pos="9632"/>
        </w:tabs>
        <w:spacing w:line="360" w:lineRule="auto"/>
        <w:ind w:firstLine="400" w:firstLineChars="200"/>
        <w:rPr>
          <w:rFonts w:ascii="微软雅黑" w:hAnsi="微软雅黑" w:eastAsia="微软雅黑" w:cs="微软雅黑"/>
          <w:sz w:val="24"/>
          <w:szCs w:val="24"/>
        </w:rPr>
      </w:pPr>
      <w:r>
        <w:fldChar w:fldCharType="begin"/>
      </w:r>
      <w:r>
        <w:instrText xml:space="preserve"> HYPERLINK \l "_Toc712_WPSOffice_Level1" </w:instrText>
      </w:r>
      <w:r>
        <w:fldChar w:fldCharType="separate"/>
      </w:r>
      <w:r>
        <w:rPr>
          <w:rFonts w:hint="eastAsia" w:ascii="微软雅黑" w:hAnsi="微软雅黑" w:eastAsia="微软雅黑" w:cs="微软雅黑"/>
          <w:sz w:val="24"/>
          <w:szCs w:val="24"/>
        </w:rPr>
        <w:t>第一章   招标公告</w:t>
      </w:r>
      <w:r>
        <w:rPr>
          <w:rFonts w:hint="eastAsia" w:ascii="微软雅黑" w:hAnsi="微软雅黑" w:eastAsia="微软雅黑" w:cs="微软雅黑"/>
          <w:sz w:val="24"/>
          <w:szCs w:val="24"/>
        </w:rPr>
        <w:tab/>
      </w:r>
      <w:bookmarkStart w:id="1" w:name="_Toc712_WPSOffice_Level1Page"/>
      <w:r>
        <w:rPr>
          <w:rFonts w:hint="eastAsia" w:ascii="微软雅黑" w:hAnsi="微软雅黑" w:eastAsia="微软雅黑" w:cs="微软雅黑"/>
          <w:sz w:val="24"/>
          <w:szCs w:val="24"/>
        </w:rPr>
        <w:t>1</w:t>
      </w:r>
      <w:bookmarkEnd w:id="1"/>
      <w:r>
        <w:rPr>
          <w:rFonts w:hint="eastAsia" w:ascii="微软雅黑" w:hAnsi="微软雅黑" w:eastAsia="微软雅黑" w:cs="微软雅黑"/>
          <w:sz w:val="24"/>
          <w:szCs w:val="24"/>
        </w:rPr>
        <w:fldChar w:fldCharType="end"/>
      </w:r>
    </w:p>
    <w:p>
      <w:pPr>
        <w:pStyle w:val="29"/>
        <w:tabs>
          <w:tab w:val="right" w:leader="dot" w:pos="9632"/>
        </w:tabs>
        <w:spacing w:line="360" w:lineRule="auto"/>
        <w:ind w:firstLine="400" w:firstLineChars="200"/>
        <w:rPr>
          <w:rFonts w:ascii="微软雅黑" w:hAnsi="微软雅黑" w:eastAsia="微软雅黑" w:cs="微软雅黑"/>
          <w:sz w:val="24"/>
          <w:szCs w:val="24"/>
        </w:rPr>
      </w:pPr>
      <w:r>
        <w:fldChar w:fldCharType="begin"/>
      </w:r>
      <w:r>
        <w:instrText xml:space="preserve"> HYPERLINK \l "_Toc20280_WPSOffice_Level1" </w:instrText>
      </w:r>
      <w:r>
        <w:fldChar w:fldCharType="separate"/>
      </w:r>
      <w:r>
        <w:rPr>
          <w:rFonts w:hint="eastAsia" w:ascii="微软雅黑" w:hAnsi="微软雅黑" w:eastAsia="微软雅黑" w:cs="微软雅黑"/>
          <w:sz w:val="24"/>
          <w:szCs w:val="24"/>
        </w:rPr>
        <w:t>第二章   投标人须知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10</w:t>
      </w:r>
    </w:p>
    <w:p>
      <w:pPr>
        <w:pStyle w:val="29"/>
        <w:tabs>
          <w:tab w:val="right" w:leader="dot" w:pos="9632"/>
        </w:tabs>
        <w:spacing w:line="360" w:lineRule="auto"/>
        <w:ind w:firstLine="400" w:firstLineChars="200"/>
        <w:rPr>
          <w:rFonts w:eastAsia="微软雅黑"/>
        </w:rPr>
      </w:pPr>
      <w:r>
        <w:fldChar w:fldCharType="begin"/>
      </w:r>
      <w:r>
        <w:instrText xml:space="preserve"> HYPERLINK \l "_Toc17621_WPSOffice_Level1" </w:instrText>
      </w:r>
      <w:r>
        <w:fldChar w:fldCharType="separate"/>
      </w:r>
      <w:r>
        <w:rPr>
          <w:rFonts w:hint="eastAsia" w:ascii="微软雅黑" w:hAnsi="微软雅黑" w:eastAsia="微软雅黑" w:cs="微软雅黑"/>
          <w:sz w:val="24"/>
          <w:szCs w:val="24"/>
        </w:rPr>
        <w:t>第三章    评标办法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bookmarkEnd w:id="0"/>
      <w:bookmarkStart w:id="2" w:name="_Toc1450_WPSOffice_Level1"/>
      <w:r>
        <w:rPr>
          <w:rFonts w:hint="eastAsia" w:ascii="微软雅黑" w:hAnsi="微软雅黑" w:eastAsia="微软雅黑" w:cs="微软雅黑"/>
          <w:sz w:val="24"/>
          <w:szCs w:val="24"/>
        </w:rPr>
        <w:t>18</w:t>
      </w:r>
    </w:p>
    <w:p>
      <w:pPr>
        <w:pStyle w:val="29"/>
        <w:tabs>
          <w:tab w:val="right" w:leader="dot" w:pos="9632"/>
        </w:tabs>
        <w:spacing w:line="360" w:lineRule="auto"/>
        <w:ind w:firstLine="408" w:firstLineChars="170"/>
        <w:rPr>
          <w:rFonts w:ascii="微软雅黑" w:hAnsi="微软雅黑" w:eastAsia="微软雅黑" w:cs="微软雅黑"/>
          <w:sz w:val="24"/>
          <w:szCs w:val="24"/>
        </w:rPr>
      </w:pPr>
      <w:r>
        <w:rPr>
          <w:rFonts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TOC \o "1-1" \h \u </w:instrText>
      </w:r>
      <w:r>
        <w:rPr>
          <w:rFonts w:ascii="微软雅黑" w:hAnsi="微软雅黑" w:eastAsia="微软雅黑" w:cs="微软雅黑"/>
          <w:sz w:val="24"/>
          <w:szCs w:val="24"/>
        </w:rPr>
        <w:fldChar w:fldCharType="separate"/>
      </w:r>
      <w:r>
        <w:fldChar w:fldCharType="begin"/>
      </w:r>
      <w:r>
        <w:instrText xml:space="preserve"> HYPERLINK \l "_Toc10077" </w:instrText>
      </w:r>
      <w:r>
        <w:fldChar w:fldCharType="separate"/>
      </w:r>
      <w:r>
        <w:rPr>
          <w:rFonts w:hint="eastAsia" w:ascii="微软雅黑" w:hAnsi="微软雅黑" w:eastAsia="微软雅黑" w:cs="微软雅黑"/>
          <w:sz w:val="24"/>
          <w:szCs w:val="24"/>
        </w:rPr>
        <w:t>第四章   合同条款</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25</w:t>
      </w:r>
    </w:p>
    <w:p>
      <w:pPr>
        <w:pStyle w:val="29"/>
        <w:tabs>
          <w:tab w:val="right" w:leader="dot" w:pos="9632"/>
        </w:tabs>
        <w:spacing w:line="360" w:lineRule="auto"/>
        <w:ind w:firstLine="400" w:firstLineChars="200"/>
        <w:rPr>
          <w:rFonts w:ascii="微软雅黑" w:hAnsi="微软雅黑" w:eastAsia="微软雅黑" w:cs="微软雅黑"/>
          <w:sz w:val="24"/>
          <w:szCs w:val="24"/>
        </w:rPr>
      </w:pPr>
      <w:r>
        <w:fldChar w:fldCharType="begin"/>
      </w:r>
      <w:r>
        <w:instrText xml:space="preserve"> HYPERLINK \l "_Toc32200" </w:instrText>
      </w:r>
      <w:r>
        <w:fldChar w:fldCharType="separate"/>
      </w:r>
      <w:r>
        <w:rPr>
          <w:rFonts w:hint="eastAsia" w:ascii="微软雅黑" w:hAnsi="微软雅黑" w:eastAsia="微软雅黑" w:cs="微软雅黑"/>
          <w:sz w:val="24"/>
          <w:szCs w:val="24"/>
        </w:rPr>
        <w:t>第五章   工程量清单及控制价（另册）</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27</w:t>
      </w:r>
    </w:p>
    <w:p>
      <w:pPr>
        <w:pStyle w:val="29"/>
        <w:tabs>
          <w:tab w:val="right" w:leader="dot" w:pos="9632"/>
        </w:tabs>
        <w:spacing w:line="360" w:lineRule="auto"/>
        <w:ind w:firstLine="400" w:firstLineChars="200"/>
        <w:rPr>
          <w:rFonts w:ascii="微软雅黑" w:hAnsi="微软雅黑" w:eastAsia="微软雅黑" w:cs="微软雅黑"/>
          <w:sz w:val="24"/>
          <w:szCs w:val="24"/>
        </w:rPr>
      </w:pPr>
      <w:r>
        <w:fldChar w:fldCharType="begin"/>
      </w:r>
      <w:r>
        <w:instrText xml:space="preserve"> HYPERLINK \l "_Toc30870" </w:instrText>
      </w:r>
      <w:r>
        <w:fldChar w:fldCharType="separate"/>
      </w:r>
      <w:r>
        <w:rPr>
          <w:rFonts w:hint="eastAsia" w:ascii="微软雅黑" w:hAnsi="微软雅黑" w:eastAsia="微软雅黑" w:cs="微软雅黑"/>
          <w:sz w:val="24"/>
          <w:szCs w:val="24"/>
        </w:rPr>
        <w:t>第六章   图纸（另册）</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28</w:t>
      </w:r>
    </w:p>
    <w:p>
      <w:pPr>
        <w:pStyle w:val="29"/>
        <w:tabs>
          <w:tab w:val="right" w:leader="dot" w:pos="9632"/>
        </w:tabs>
        <w:spacing w:line="360" w:lineRule="auto"/>
        <w:ind w:firstLine="400" w:firstLineChars="200"/>
        <w:rPr>
          <w:rFonts w:ascii="微软雅黑" w:hAnsi="微软雅黑" w:eastAsia="微软雅黑" w:cs="微软雅黑"/>
          <w:sz w:val="24"/>
          <w:szCs w:val="24"/>
        </w:rPr>
      </w:pPr>
      <w:r>
        <w:fldChar w:fldCharType="begin"/>
      </w:r>
      <w:r>
        <w:instrText xml:space="preserve"> HYPERLINK \l "_Toc15920" </w:instrText>
      </w:r>
      <w:r>
        <w:fldChar w:fldCharType="separate"/>
      </w:r>
      <w:r>
        <w:rPr>
          <w:rFonts w:hint="eastAsia" w:ascii="微软雅黑" w:hAnsi="微软雅黑" w:eastAsia="微软雅黑" w:cs="微软雅黑"/>
          <w:sz w:val="24"/>
          <w:szCs w:val="24"/>
        </w:rPr>
        <w:t>第七章   技术规范（另册）</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29</w:t>
      </w:r>
    </w:p>
    <w:p>
      <w:pPr>
        <w:pStyle w:val="29"/>
        <w:tabs>
          <w:tab w:val="right" w:leader="dot" w:pos="9632"/>
        </w:tabs>
        <w:spacing w:line="360" w:lineRule="auto"/>
        <w:ind w:firstLine="400" w:firstLineChars="200"/>
        <w:rPr>
          <w:rFonts w:eastAsia="微软雅黑"/>
        </w:rPr>
      </w:pPr>
      <w:r>
        <w:fldChar w:fldCharType="begin"/>
      </w:r>
      <w:r>
        <w:instrText xml:space="preserve"> HYPERLINK \l "_Toc15920" </w:instrText>
      </w:r>
      <w:r>
        <w:fldChar w:fldCharType="separate"/>
      </w:r>
      <w:r>
        <w:rPr>
          <w:rFonts w:hint="eastAsia" w:ascii="微软雅黑" w:hAnsi="微软雅黑" w:eastAsia="微软雅黑" w:cs="微软雅黑"/>
          <w:sz w:val="24"/>
          <w:szCs w:val="24"/>
        </w:rPr>
        <w:t>第八章    投标文件格式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30</w:t>
      </w:r>
    </w:p>
    <w:p>
      <w:pPr>
        <w:pStyle w:val="29"/>
        <w:tabs>
          <w:tab w:val="right" w:leader="dot" w:pos="9632"/>
        </w:tabs>
        <w:spacing w:line="360" w:lineRule="auto"/>
        <w:ind w:firstLine="480" w:firstLineChars="200"/>
        <w:rPr>
          <w:rFonts w:ascii="微软雅黑" w:hAnsi="微软雅黑" w:eastAsia="微软雅黑" w:cs="微软雅黑"/>
          <w:sz w:val="24"/>
          <w:szCs w:val="24"/>
        </w:rPr>
      </w:pPr>
    </w:p>
    <w:p>
      <w:pPr>
        <w:pStyle w:val="29"/>
        <w:tabs>
          <w:tab w:val="right" w:leader="dot" w:pos="8306"/>
        </w:tabs>
        <w:ind w:firstLine="400" w:firstLineChars="200"/>
        <w:jc w:val="center"/>
      </w:pPr>
      <w:r>
        <w:fldChar w:fldCharType="end"/>
      </w:r>
    </w:p>
    <w:p>
      <w:pPr>
        <w:pStyle w:val="29"/>
        <w:tabs>
          <w:tab w:val="right" w:leader="dot" w:pos="8306"/>
        </w:tabs>
        <w:ind w:firstLine="418" w:firstLineChars="209"/>
        <w:jc w:val="center"/>
      </w:pPr>
    </w:p>
    <w:p>
      <w:pPr>
        <w:pStyle w:val="29"/>
        <w:tabs>
          <w:tab w:val="right" w:leader="dot" w:pos="8306"/>
        </w:tabs>
        <w:ind w:firstLine="418" w:firstLineChars="209"/>
        <w:jc w:val="center"/>
      </w:pPr>
    </w:p>
    <w:p>
      <w:pPr>
        <w:pStyle w:val="29"/>
        <w:tabs>
          <w:tab w:val="right" w:leader="dot" w:pos="8306"/>
        </w:tabs>
        <w:jc w:val="center"/>
        <w:rPr>
          <w:rFonts w:ascii="等线" w:hAnsi="等线" w:eastAsia="等线" w:cs="等线"/>
          <w:b/>
          <w:bCs/>
          <w:sz w:val="48"/>
          <w:szCs w:val="48"/>
          <w:lang w:bidi="zh-CN"/>
        </w:rPr>
        <w:sectPr>
          <w:footerReference r:id="rId3" w:type="default"/>
          <w:pgSz w:w="11911" w:h="16838"/>
          <w:pgMar w:top="1599" w:right="1179" w:bottom="1298" w:left="1100" w:header="0" w:footer="992" w:gutter="0"/>
          <w:pgNumType w:start="1"/>
          <w:cols w:space="720" w:num="1"/>
        </w:sectPr>
      </w:pPr>
    </w:p>
    <w:p>
      <w:pPr>
        <w:pStyle w:val="29"/>
        <w:tabs>
          <w:tab w:val="right" w:leader="dot" w:pos="8306"/>
        </w:tabs>
        <w:jc w:val="center"/>
        <w:rPr>
          <w:rFonts w:ascii="等线" w:hAnsi="等线" w:eastAsia="等线" w:cs="等线"/>
          <w:b/>
          <w:bCs/>
          <w:sz w:val="48"/>
          <w:szCs w:val="48"/>
          <w:lang w:bidi="zh-CN"/>
        </w:rPr>
      </w:pPr>
    </w:p>
    <w:p>
      <w:pPr>
        <w:pStyle w:val="29"/>
        <w:tabs>
          <w:tab w:val="right" w:leader="dot" w:pos="8306"/>
        </w:tabs>
        <w:jc w:val="center"/>
        <w:rPr>
          <w:rFonts w:ascii="等线" w:hAnsi="等线" w:eastAsia="等线" w:cs="等线"/>
          <w:b/>
          <w:bCs/>
          <w:sz w:val="48"/>
          <w:szCs w:val="48"/>
          <w:lang w:bidi="zh-CN"/>
        </w:rPr>
      </w:pPr>
    </w:p>
    <w:p>
      <w:pPr>
        <w:pStyle w:val="29"/>
        <w:tabs>
          <w:tab w:val="right" w:leader="dot" w:pos="8306"/>
        </w:tabs>
        <w:jc w:val="center"/>
        <w:rPr>
          <w:rFonts w:ascii="等线" w:hAnsi="等线" w:eastAsia="等线" w:cs="等线"/>
          <w:b/>
          <w:bCs/>
          <w:sz w:val="48"/>
          <w:szCs w:val="48"/>
          <w:lang w:bidi="zh-CN"/>
        </w:rPr>
      </w:pPr>
    </w:p>
    <w:p>
      <w:pPr>
        <w:pStyle w:val="29"/>
        <w:tabs>
          <w:tab w:val="right" w:leader="dot" w:pos="8306"/>
        </w:tabs>
        <w:jc w:val="center"/>
        <w:rPr>
          <w:rFonts w:ascii="等线" w:hAnsi="等线" w:eastAsia="等线" w:cs="等线"/>
          <w:b/>
          <w:bCs/>
          <w:sz w:val="48"/>
          <w:szCs w:val="48"/>
          <w:lang w:bidi="zh-CN"/>
        </w:rPr>
      </w:pPr>
    </w:p>
    <w:p>
      <w:pPr>
        <w:pStyle w:val="29"/>
        <w:tabs>
          <w:tab w:val="right" w:leader="dot" w:pos="8306"/>
        </w:tabs>
        <w:jc w:val="center"/>
        <w:rPr>
          <w:rFonts w:ascii="等线" w:hAnsi="等线" w:eastAsia="等线" w:cs="等线"/>
          <w:b/>
          <w:bCs/>
          <w:sz w:val="48"/>
          <w:szCs w:val="48"/>
          <w:lang w:bidi="zh-CN"/>
        </w:rPr>
      </w:pPr>
    </w:p>
    <w:p>
      <w:pPr>
        <w:pStyle w:val="29"/>
        <w:tabs>
          <w:tab w:val="right" w:leader="dot" w:pos="8306"/>
        </w:tabs>
        <w:jc w:val="center"/>
        <w:rPr>
          <w:rFonts w:ascii="等线" w:hAnsi="等线" w:eastAsia="等线" w:cs="等线"/>
          <w:b/>
          <w:bCs/>
          <w:sz w:val="48"/>
          <w:szCs w:val="48"/>
          <w:lang w:bidi="zh-CN"/>
        </w:rPr>
      </w:pPr>
    </w:p>
    <w:p>
      <w:pPr>
        <w:pStyle w:val="29"/>
        <w:tabs>
          <w:tab w:val="right" w:leader="dot" w:pos="8306"/>
        </w:tabs>
        <w:jc w:val="center"/>
        <w:rPr>
          <w:rFonts w:ascii="等线" w:hAnsi="等线" w:eastAsia="等线" w:cs="等线"/>
          <w:b/>
          <w:bCs/>
          <w:sz w:val="48"/>
          <w:szCs w:val="48"/>
          <w:lang w:bidi="zh-CN"/>
        </w:rPr>
      </w:pPr>
      <w:bookmarkStart w:id="3" w:name="_Toc13698_WPSOffice_Level1"/>
      <w:bookmarkStart w:id="4" w:name="_Toc712_WPSOffice_Level1"/>
      <w:r>
        <w:rPr>
          <w:rFonts w:hint="eastAsia" w:ascii="等线" w:hAnsi="等线" w:eastAsia="等线" w:cs="等线"/>
          <w:b/>
          <w:bCs/>
          <w:sz w:val="48"/>
          <w:szCs w:val="48"/>
          <w:lang w:bidi="zh-CN"/>
        </w:rPr>
        <w:t>第一章   招标公告</w:t>
      </w:r>
      <w:bookmarkEnd w:id="2"/>
      <w:bookmarkEnd w:id="3"/>
      <w:bookmarkEnd w:id="4"/>
    </w:p>
    <w:p>
      <w:pPr>
        <w:pStyle w:val="29"/>
        <w:tabs>
          <w:tab w:val="right" w:leader="dot" w:pos="8306"/>
        </w:tabs>
        <w:jc w:val="center"/>
        <w:rPr>
          <w:rFonts w:ascii="等线" w:hAnsi="等线" w:eastAsia="等线" w:cs="等线"/>
          <w:b/>
          <w:bCs/>
          <w:sz w:val="48"/>
          <w:szCs w:val="48"/>
          <w:lang w:bidi="zh-CN"/>
        </w:rPr>
        <w:sectPr>
          <w:footerReference r:id="rId4" w:type="default"/>
          <w:pgSz w:w="11911" w:h="16838"/>
          <w:pgMar w:top="1599" w:right="1179" w:bottom="1298" w:left="1100" w:header="0" w:footer="992" w:gutter="0"/>
          <w:pgNumType w:start="1"/>
          <w:cols w:space="720" w:num="1"/>
        </w:sectPr>
      </w:pPr>
    </w:p>
    <w:p>
      <w:pPr>
        <w:tabs>
          <w:tab w:val="left" w:pos="416"/>
        </w:tabs>
        <w:autoSpaceDE w:val="0"/>
        <w:autoSpaceDN w:val="0"/>
        <w:spacing w:before="122" w:line="360" w:lineRule="auto"/>
        <w:ind w:left="100"/>
        <w:jc w:val="center"/>
      </w:pPr>
      <w:bookmarkStart w:id="5" w:name="_Toc3161_WPSOffice_Level1"/>
      <w:bookmarkStart w:id="6" w:name="_Toc27409_WPSOffice_Level1"/>
      <w:r>
        <w:rPr>
          <w:rFonts w:hint="eastAsia" w:ascii="宋体" w:hAnsi="宋体" w:cs="宋体"/>
          <w:b/>
          <w:bCs/>
          <w:sz w:val="32"/>
          <w:szCs w:val="32"/>
        </w:rPr>
        <w:t>雅西高速公路铁寨子1#桥下边坡地质灾害处治工程施工分包</w:t>
      </w:r>
    </w:p>
    <w:p>
      <w:pPr>
        <w:tabs>
          <w:tab w:val="left" w:pos="3480"/>
          <w:tab w:val="left" w:pos="4520"/>
          <w:tab w:val="left" w:pos="5560"/>
        </w:tabs>
        <w:autoSpaceDE w:val="0"/>
        <w:autoSpaceDN w:val="0"/>
        <w:adjustRightInd w:val="0"/>
        <w:spacing w:line="360" w:lineRule="auto"/>
        <w:ind w:firstLine="482" w:firstLineChars="200"/>
        <w:rPr>
          <w:b/>
          <w:bCs/>
          <w:sz w:val="28"/>
          <w:szCs w:val="28"/>
        </w:rPr>
      </w:pPr>
      <w:r>
        <w:rPr>
          <w:rFonts w:hint="eastAsia" w:ascii="宋体" w:hAnsi="宋体" w:cs="宋体"/>
          <w:b/>
          <w:kern w:val="0"/>
          <w:sz w:val="24"/>
          <w:szCs w:val="24"/>
          <w:lang w:bidi="zh-CN"/>
        </w:rPr>
        <w:t>1、</w:t>
      </w:r>
      <w:r>
        <w:rPr>
          <w:rFonts w:hint="eastAsia"/>
          <w:b/>
          <w:bCs/>
          <w:sz w:val="24"/>
          <w:szCs w:val="24"/>
        </w:rPr>
        <w:t>招标条件</w:t>
      </w:r>
    </w:p>
    <w:p>
      <w:pPr>
        <w:tabs>
          <w:tab w:val="left" w:pos="416"/>
        </w:tabs>
        <w:autoSpaceDE w:val="0"/>
        <w:autoSpaceDN w:val="0"/>
        <w:spacing w:before="122" w:line="360" w:lineRule="auto"/>
        <w:ind w:left="100" w:firstLine="480" w:firstLineChars="200"/>
        <w:jc w:val="left"/>
        <w:rPr>
          <w:rFonts w:ascii="宋体" w:hAnsi="宋体" w:cs="宋体"/>
          <w:sz w:val="24"/>
          <w:szCs w:val="24"/>
        </w:rPr>
      </w:pPr>
      <w:r>
        <w:rPr>
          <w:rFonts w:hint="eastAsia" w:ascii="宋体" w:hAnsi="宋体" w:cs="宋体"/>
          <w:sz w:val="24"/>
          <w:szCs w:val="24"/>
        </w:rPr>
        <w:t>本项目招标人为四川省交通建设集团股份有限公司，建设资金为业主拨付的工程计量款，雅西高速公路铁寨子1#桥下边坡地质灾害处治工程施工方案及招标方案公司已审批完毕，已具备招标条件，现对该项目进行施工分包公开招标。</w:t>
      </w:r>
    </w:p>
    <w:p>
      <w:pPr>
        <w:tabs>
          <w:tab w:val="left" w:pos="3480"/>
          <w:tab w:val="left" w:pos="4520"/>
          <w:tab w:val="left" w:pos="5560"/>
        </w:tabs>
        <w:autoSpaceDE w:val="0"/>
        <w:autoSpaceDN w:val="0"/>
        <w:adjustRightInd w:val="0"/>
        <w:spacing w:line="360" w:lineRule="auto"/>
        <w:ind w:firstLine="482" w:firstLineChars="200"/>
        <w:rPr>
          <w:b/>
          <w:kern w:val="0"/>
          <w:sz w:val="24"/>
          <w:szCs w:val="24"/>
          <w:lang w:val="zh-CN" w:bidi="zh-CN"/>
        </w:rPr>
      </w:pPr>
      <w:r>
        <w:rPr>
          <w:rFonts w:hint="eastAsia" w:ascii="宋体" w:hAnsi="宋体" w:cs="宋体"/>
          <w:b/>
          <w:kern w:val="0"/>
          <w:sz w:val="24"/>
          <w:szCs w:val="24"/>
          <w:lang w:bidi="zh-CN"/>
        </w:rPr>
        <w:t>2、</w:t>
      </w:r>
      <w:r>
        <w:rPr>
          <w:b/>
          <w:kern w:val="0"/>
          <w:sz w:val="24"/>
          <w:szCs w:val="24"/>
          <w:lang w:val="zh-CN" w:bidi="zh-CN"/>
        </w:rPr>
        <w:t>项目概况与招标范围</w:t>
      </w:r>
    </w:p>
    <w:p>
      <w:pPr>
        <w:tabs>
          <w:tab w:val="left" w:pos="3480"/>
          <w:tab w:val="left" w:pos="4520"/>
          <w:tab w:val="left" w:pos="5560"/>
        </w:tabs>
        <w:autoSpaceDE w:val="0"/>
        <w:autoSpaceDN w:val="0"/>
        <w:adjustRightInd w:val="0"/>
        <w:spacing w:line="360" w:lineRule="auto"/>
        <w:ind w:firstLine="422" w:firstLineChars="175"/>
        <w:rPr>
          <w:rFonts w:ascii="宋体" w:hAnsi="宋体" w:cs="宋体"/>
          <w:sz w:val="24"/>
          <w:szCs w:val="24"/>
        </w:rPr>
      </w:pPr>
      <w:r>
        <w:rPr>
          <w:rFonts w:hint="eastAsia" w:ascii="宋体" w:hAnsi="宋体" w:cs="宋体"/>
          <w:b/>
          <w:kern w:val="0"/>
          <w:sz w:val="24"/>
          <w:szCs w:val="24"/>
          <w:lang w:bidi="zh-CN"/>
        </w:rPr>
        <w:t>2.1</w:t>
      </w:r>
      <w:r>
        <w:rPr>
          <w:b/>
          <w:spacing w:val="-6"/>
          <w:sz w:val="24"/>
          <w:szCs w:val="24"/>
        </w:rPr>
        <w:t>工程概况</w:t>
      </w:r>
      <w:r>
        <w:rPr>
          <w:rFonts w:hint="eastAsia"/>
          <w:b/>
          <w:spacing w:val="-6"/>
          <w:sz w:val="24"/>
          <w:szCs w:val="24"/>
        </w:rPr>
        <w:t>：</w:t>
      </w:r>
      <w:r>
        <w:rPr>
          <w:rFonts w:ascii="宋体" w:hAnsi="宋体" w:cs="宋体"/>
          <w:sz w:val="24"/>
          <w:szCs w:val="24"/>
        </w:rPr>
        <w:t>雅西高速公路铁寨子左线1号隧道出口及铁寨子1号大桥位于四川省雅安市石棉县栗子坪彝族乡，该段路线为分线隧道接分离式桥梁，接隧道出口的铁寨子1号大桥左线1#、2#、右线2#、3#桥墩以40m跨径跨过大砂沟。该沟多年来一直未有泥石流爆发，直至2020年汛期爆发较大规模山洪灾害，山洪爆发时带出大量崩塌块石。铁寨子1号桥左侧及桥下为弃渣场，堆积原建设阶段隧道开挖的弃渣，占据大砂沟部分沟道，桥梁及两侧范围内弃渣场边坡最大堆积高度约50m,平均堆积厚度约20〜40m，弃渣场垮塌后稳定性急剧降低，汛期强降雨等因素影响下有产生整体滑塌的较大风险，再加上山洪会将沟道内和弃渣场垮塌后的弃渣体一起裹携后冲向下游桥梁方向，沟道纵坡大，顺沟而下的大量块碎石会对桥墩造成巨大冲击，目前的灾害现状已对沟道内的铁寨子1号大桥左线1#、2#及右线2#、3#桥墩及桥梁安全构成产重威胁。</w:t>
      </w:r>
      <w:r>
        <w:rPr>
          <w:rFonts w:hint="eastAsia" w:ascii="宋体" w:hAnsi="宋体" w:cs="宋体"/>
          <w:sz w:val="24"/>
          <w:szCs w:val="24"/>
        </w:rPr>
        <w:t>需</w:t>
      </w:r>
      <w:r>
        <w:rPr>
          <w:rFonts w:ascii="宋体" w:hAnsi="宋体" w:cs="宋体"/>
          <w:sz w:val="24"/>
          <w:szCs w:val="24"/>
        </w:rPr>
        <w:t>对雅西高速公路铁寨子1#桥下边坡地质灾害进行处治，主要工程量为新增挡土墙、垫墩压力注浆锚杆，普通短锚杆、坡面挂网喷砼防护、弃土场新增挡土墙及截排水沟。</w:t>
      </w:r>
    </w:p>
    <w:p>
      <w:pPr>
        <w:tabs>
          <w:tab w:val="left" w:pos="3480"/>
          <w:tab w:val="left" w:pos="4520"/>
          <w:tab w:val="left" w:pos="5560"/>
        </w:tabs>
        <w:autoSpaceDE w:val="0"/>
        <w:autoSpaceDN w:val="0"/>
        <w:adjustRightInd w:val="0"/>
        <w:spacing w:line="360" w:lineRule="auto"/>
        <w:ind w:firstLine="482" w:firstLineChars="200"/>
        <w:rPr>
          <w:rFonts w:ascii="宋体" w:hAnsi="宋体" w:cs="宋体"/>
          <w:b/>
          <w:kern w:val="0"/>
          <w:sz w:val="24"/>
          <w:szCs w:val="24"/>
          <w:lang w:bidi="zh-CN"/>
        </w:rPr>
      </w:pPr>
      <w:r>
        <w:rPr>
          <w:rFonts w:hint="eastAsia" w:ascii="宋体" w:hAnsi="宋体" w:cs="宋体"/>
          <w:b/>
          <w:kern w:val="0"/>
          <w:sz w:val="24"/>
          <w:szCs w:val="24"/>
          <w:lang w:bidi="zh-CN"/>
        </w:rPr>
        <w:t>2.2技术标准：</w:t>
      </w:r>
      <w:r>
        <w:rPr>
          <w:rFonts w:hint="eastAsia" w:ascii="宋体" w:hAnsi="宋体" w:cs="宋体"/>
          <w:bCs/>
          <w:kern w:val="0"/>
          <w:sz w:val="24"/>
          <w:szCs w:val="24"/>
          <w:lang w:bidi="zh-CN"/>
        </w:rPr>
        <w:t>本项目全线按双向四车道高速公路标准建设，设计速度采用80km/h，路基宽度采用25.5m，桥涵设计荷载采用公路-I级，其余技术指标均符合部颁《公路工程技术标准》（JTG B01-2014）的规定值</w:t>
      </w:r>
      <w:r>
        <w:rPr>
          <w:rFonts w:hint="eastAsia" w:ascii="宋体" w:hAnsi="宋体" w:cs="宋体"/>
          <w:sz w:val="24"/>
          <w:szCs w:val="24"/>
        </w:rPr>
        <w:t>。</w:t>
      </w:r>
    </w:p>
    <w:p>
      <w:pPr>
        <w:tabs>
          <w:tab w:val="left" w:pos="416"/>
        </w:tabs>
        <w:autoSpaceDE w:val="0"/>
        <w:autoSpaceDN w:val="0"/>
        <w:spacing w:before="122" w:line="360" w:lineRule="auto"/>
        <w:ind w:firstLine="482" w:firstLineChars="200"/>
        <w:jc w:val="left"/>
        <w:rPr>
          <w:rFonts w:ascii="宋体" w:hAnsi="宋体" w:cs="宋体"/>
          <w:b/>
          <w:sz w:val="32"/>
          <w:szCs w:val="32"/>
        </w:rPr>
      </w:pPr>
      <w:r>
        <w:rPr>
          <w:rFonts w:hint="eastAsia" w:ascii="宋体" w:hAnsi="宋体" w:cs="宋体"/>
          <w:b/>
          <w:kern w:val="0"/>
          <w:sz w:val="24"/>
          <w:szCs w:val="24"/>
          <w:lang w:bidi="zh-CN"/>
        </w:rPr>
        <w:t>2.3招标范围与分段划分：</w:t>
      </w:r>
      <w:r>
        <w:rPr>
          <w:rFonts w:hint="eastAsia" w:ascii="宋体" w:hAnsi="宋体" w:cs="宋体"/>
          <w:sz w:val="24"/>
          <w:szCs w:val="24"/>
        </w:rPr>
        <w:t>本次招标</w:t>
      </w:r>
      <w:r>
        <w:rPr>
          <w:rFonts w:hint="eastAsia" w:ascii="宋体" w:hAnsi="宋体" w:cs="宋体"/>
          <w:bCs/>
          <w:kern w:val="0"/>
          <w:sz w:val="24"/>
          <w:szCs w:val="24"/>
          <w:lang w:bidi="zh-CN"/>
        </w:rPr>
        <w:t>为雅西高速公路铁寨子1#桥下边坡地质灾害处治工程施工分包</w:t>
      </w:r>
      <w:r>
        <w:rPr>
          <w:rFonts w:hint="eastAsia" w:ascii="宋体" w:hAnsi="宋体" w:cs="宋体"/>
          <w:sz w:val="24"/>
          <w:szCs w:val="24"/>
        </w:rPr>
        <w:t>。本次招标共计1个标段，起讫桩号、主要工程内容见本公告附表一。</w:t>
      </w:r>
    </w:p>
    <w:p>
      <w:pPr>
        <w:tabs>
          <w:tab w:val="left" w:pos="3480"/>
          <w:tab w:val="left" w:pos="4520"/>
          <w:tab w:val="left" w:pos="5560"/>
        </w:tabs>
        <w:autoSpaceDE w:val="0"/>
        <w:autoSpaceDN w:val="0"/>
        <w:adjustRightInd w:val="0"/>
        <w:spacing w:line="360" w:lineRule="auto"/>
        <w:ind w:firstLine="482" w:firstLineChars="200"/>
        <w:rPr>
          <w:rFonts w:ascii="宋体" w:hAnsi="宋体" w:cs="宋体"/>
          <w:sz w:val="24"/>
          <w:szCs w:val="24"/>
        </w:rPr>
      </w:pPr>
      <w:r>
        <w:rPr>
          <w:rFonts w:hint="eastAsia" w:ascii="宋体" w:hAnsi="宋体" w:cs="宋体"/>
          <w:b/>
          <w:kern w:val="0"/>
          <w:sz w:val="24"/>
          <w:szCs w:val="24"/>
          <w:lang w:bidi="zh-CN"/>
        </w:rPr>
        <w:t>2.4工程质量：</w:t>
      </w:r>
      <w:r>
        <w:rPr>
          <w:rFonts w:hint="eastAsia" w:ascii="宋体" w:hAnsi="宋体" w:cs="宋体"/>
          <w:sz w:val="24"/>
          <w:szCs w:val="24"/>
        </w:rPr>
        <w:t>交工验收的工程质量目标：合格；竣工验收的工程质量目标：优良。</w:t>
      </w:r>
    </w:p>
    <w:p>
      <w:pPr>
        <w:tabs>
          <w:tab w:val="left" w:pos="3480"/>
          <w:tab w:val="left" w:pos="4520"/>
          <w:tab w:val="left" w:pos="5560"/>
        </w:tabs>
        <w:autoSpaceDE w:val="0"/>
        <w:autoSpaceDN w:val="0"/>
        <w:adjustRightInd w:val="0"/>
        <w:spacing w:line="360" w:lineRule="auto"/>
        <w:ind w:firstLine="482" w:firstLineChars="200"/>
        <w:rPr>
          <w:b/>
          <w:bCs/>
          <w:sz w:val="24"/>
          <w:szCs w:val="24"/>
        </w:rPr>
      </w:pPr>
      <w:r>
        <w:rPr>
          <w:rFonts w:hint="eastAsia" w:ascii="宋体" w:hAnsi="宋体" w:cs="宋体"/>
          <w:b/>
          <w:kern w:val="0"/>
          <w:sz w:val="24"/>
          <w:szCs w:val="24"/>
          <w:lang w:bidi="zh-CN"/>
        </w:rPr>
        <w:t>2.5安全目标：</w:t>
      </w:r>
      <w:r>
        <w:rPr>
          <w:rFonts w:hint="eastAsia"/>
          <w:sz w:val="24"/>
          <w:szCs w:val="24"/>
        </w:rPr>
        <w:t>不发生等级安全事故。</w:t>
      </w:r>
    </w:p>
    <w:p>
      <w:pPr>
        <w:tabs>
          <w:tab w:val="left" w:pos="3480"/>
          <w:tab w:val="left" w:pos="4520"/>
          <w:tab w:val="left" w:pos="5560"/>
        </w:tabs>
        <w:autoSpaceDE w:val="0"/>
        <w:autoSpaceDN w:val="0"/>
        <w:adjustRightInd w:val="0"/>
        <w:spacing w:line="360" w:lineRule="auto"/>
        <w:ind w:firstLine="482" w:firstLineChars="200"/>
        <w:rPr>
          <w:sz w:val="24"/>
          <w:szCs w:val="24"/>
        </w:rPr>
      </w:pPr>
      <w:r>
        <w:rPr>
          <w:rFonts w:hint="eastAsia" w:ascii="宋体" w:hAnsi="宋体" w:cs="宋体"/>
          <w:b/>
          <w:kern w:val="0"/>
          <w:sz w:val="24"/>
          <w:szCs w:val="24"/>
          <w:lang w:bidi="zh-CN"/>
        </w:rPr>
        <w:t>2.6缺陷责任期</w:t>
      </w:r>
      <w:r>
        <w:rPr>
          <w:b/>
          <w:bCs/>
          <w:sz w:val="24"/>
          <w:szCs w:val="24"/>
        </w:rPr>
        <w:t>：</w:t>
      </w:r>
      <w:r>
        <w:rPr>
          <w:sz w:val="24"/>
          <w:szCs w:val="24"/>
        </w:rPr>
        <w:t>从</w:t>
      </w:r>
      <w:r>
        <w:rPr>
          <w:rFonts w:hint="eastAsia"/>
          <w:sz w:val="24"/>
          <w:szCs w:val="24"/>
        </w:rPr>
        <w:t>通过业主验收</w:t>
      </w:r>
      <w:r>
        <w:rPr>
          <w:sz w:val="24"/>
          <w:szCs w:val="24"/>
        </w:rPr>
        <w:t>起算，缺陷责任期为</w:t>
      </w:r>
      <w:r>
        <w:rPr>
          <w:rFonts w:hint="eastAsia"/>
          <w:sz w:val="24"/>
          <w:szCs w:val="24"/>
          <w:u w:val="single"/>
        </w:rPr>
        <w:t xml:space="preserve"> 24  </w:t>
      </w:r>
      <w:r>
        <w:rPr>
          <w:sz w:val="24"/>
          <w:szCs w:val="24"/>
        </w:rPr>
        <w:t>个月</w:t>
      </w:r>
      <w:r>
        <w:rPr>
          <w:rFonts w:hint="eastAsia"/>
          <w:sz w:val="24"/>
          <w:szCs w:val="24"/>
        </w:rPr>
        <w:t>，保修期</w:t>
      </w:r>
      <w:r>
        <w:rPr>
          <w:rFonts w:hint="eastAsia"/>
          <w:sz w:val="24"/>
          <w:szCs w:val="24"/>
          <w:u w:val="single"/>
        </w:rPr>
        <w:t>60</w:t>
      </w:r>
      <w:r>
        <w:rPr>
          <w:rFonts w:hint="eastAsia"/>
          <w:sz w:val="24"/>
          <w:szCs w:val="24"/>
        </w:rPr>
        <w:t>个月。</w:t>
      </w:r>
    </w:p>
    <w:p>
      <w:pPr>
        <w:tabs>
          <w:tab w:val="left" w:pos="3480"/>
          <w:tab w:val="left" w:pos="4520"/>
          <w:tab w:val="left" w:pos="5560"/>
        </w:tabs>
        <w:autoSpaceDE w:val="0"/>
        <w:autoSpaceDN w:val="0"/>
        <w:adjustRightInd w:val="0"/>
        <w:spacing w:line="360" w:lineRule="auto"/>
        <w:ind w:firstLine="482" w:firstLineChars="200"/>
        <w:rPr>
          <w:rFonts w:eastAsia="仿宋"/>
        </w:rPr>
      </w:pPr>
      <w:r>
        <w:rPr>
          <w:rFonts w:hint="eastAsia" w:ascii="宋体" w:hAnsi="宋体" w:cs="宋体"/>
          <w:b/>
          <w:kern w:val="0"/>
          <w:sz w:val="24"/>
          <w:szCs w:val="24"/>
          <w:lang w:bidi="zh-CN"/>
        </w:rPr>
        <w:t>2.7工期：</w:t>
      </w:r>
      <w:r>
        <w:rPr>
          <w:rFonts w:hint="eastAsia"/>
          <w:sz w:val="24"/>
          <w:szCs w:val="24"/>
        </w:rPr>
        <w:t>计划</w:t>
      </w:r>
      <w:r>
        <w:rPr>
          <w:rFonts w:hint="eastAsia"/>
          <w:sz w:val="24"/>
          <w:szCs w:val="24"/>
          <w:u w:val="single"/>
        </w:rPr>
        <w:t xml:space="preserve">  4  </w:t>
      </w:r>
      <w:r>
        <w:rPr>
          <w:rFonts w:hint="eastAsia"/>
          <w:sz w:val="24"/>
          <w:szCs w:val="24"/>
        </w:rPr>
        <w:t>个月，</w:t>
      </w:r>
      <w:r>
        <w:rPr>
          <w:rFonts w:hint="eastAsia" w:ascii="宋体" w:hAnsi="宋体" w:cs="宋体"/>
          <w:sz w:val="24"/>
          <w:szCs w:val="24"/>
        </w:rPr>
        <w:t>该工期为预估工期以现场实际工期为准</w:t>
      </w:r>
      <w:r>
        <w:rPr>
          <w:rFonts w:hint="eastAsia"/>
          <w:sz w:val="24"/>
          <w:szCs w:val="24"/>
        </w:rPr>
        <w:t>。</w:t>
      </w:r>
    </w:p>
    <w:p>
      <w:pPr>
        <w:tabs>
          <w:tab w:val="left" w:pos="3480"/>
          <w:tab w:val="left" w:pos="4520"/>
          <w:tab w:val="left" w:pos="5560"/>
        </w:tabs>
        <w:autoSpaceDE w:val="0"/>
        <w:autoSpaceDN w:val="0"/>
        <w:adjustRightInd w:val="0"/>
        <w:spacing w:line="360" w:lineRule="auto"/>
        <w:ind w:firstLine="422" w:firstLineChars="175"/>
        <w:rPr>
          <w:rFonts w:ascii="宋体" w:hAnsi="宋体" w:cs="宋体"/>
          <w:b/>
          <w:kern w:val="0"/>
          <w:sz w:val="24"/>
          <w:szCs w:val="24"/>
          <w:lang w:bidi="zh-CN"/>
        </w:rPr>
      </w:pPr>
      <w:r>
        <w:rPr>
          <w:rFonts w:hint="eastAsia" w:ascii="宋体" w:hAnsi="宋体" w:cs="宋体"/>
          <w:b/>
          <w:kern w:val="0"/>
          <w:sz w:val="24"/>
          <w:szCs w:val="24"/>
          <w:lang w:bidi="zh-CN"/>
        </w:rPr>
        <w:t>3.投标人资格要求</w:t>
      </w:r>
    </w:p>
    <w:p>
      <w:pPr>
        <w:tabs>
          <w:tab w:val="left" w:pos="3480"/>
          <w:tab w:val="left" w:pos="4520"/>
          <w:tab w:val="left" w:pos="5560"/>
        </w:tabs>
        <w:autoSpaceDE w:val="0"/>
        <w:autoSpaceDN w:val="0"/>
        <w:adjustRightInd w:val="0"/>
        <w:spacing w:line="360" w:lineRule="auto"/>
        <w:ind w:firstLine="422" w:firstLineChars="175"/>
        <w:rPr>
          <w:rFonts w:ascii="宋体" w:hAnsi="宋体" w:cs="宋体"/>
          <w:b/>
          <w:kern w:val="0"/>
          <w:sz w:val="24"/>
          <w:szCs w:val="24"/>
          <w:lang w:bidi="zh-CN"/>
        </w:rPr>
      </w:pPr>
      <w:r>
        <w:rPr>
          <w:rFonts w:hint="eastAsia" w:ascii="宋体" w:hAnsi="宋体" w:cs="宋体"/>
          <w:b/>
          <w:kern w:val="0"/>
          <w:sz w:val="24"/>
          <w:szCs w:val="24"/>
          <w:lang w:bidi="zh-CN"/>
        </w:rPr>
        <w:t xml:space="preserve">3.1投标人资格条件 </w:t>
      </w:r>
    </w:p>
    <w:p>
      <w:pPr>
        <w:tabs>
          <w:tab w:val="left" w:pos="3480"/>
          <w:tab w:val="left" w:pos="4520"/>
          <w:tab w:val="left" w:pos="5560"/>
        </w:tabs>
        <w:autoSpaceDE w:val="0"/>
        <w:autoSpaceDN w:val="0"/>
        <w:adjustRightInd w:val="0"/>
        <w:spacing w:line="360" w:lineRule="auto"/>
        <w:ind w:firstLine="422" w:firstLineChars="175"/>
        <w:jc w:val="left"/>
        <w:rPr>
          <w:sz w:val="24"/>
          <w:szCs w:val="24"/>
        </w:rPr>
      </w:pPr>
      <w:r>
        <w:rPr>
          <w:rFonts w:hint="eastAsia" w:ascii="宋体" w:hAnsi="宋体" w:cs="宋体"/>
          <w:b/>
          <w:kern w:val="0"/>
          <w:sz w:val="24"/>
          <w:szCs w:val="24"/>
          <w:lang w:bidi="zh-CN"/>
        </w:rPr>
        <w:t>3</w:t>
      </w:r>
      <w:r>
        <w:rPr>
          <w:rFonts w:hint="eastAsia" w:ascii="宋体" w:hAnsi="宋体" w:cs="宋体"/>
          <w:sz w:val="24"/>
          <w:szCs w:val="24"/>
        </w:rPr>
        <w:t>.1.1</w:t>
      </w:r>
      <w:r>
        <w:rPr>
          <w:rFonts w:hint="eastAsia"/>
          <w:sz w:val="24"/>
          <w:szCs w:val="24"/>
        </w:rPr>
        <w:t>投标人资格条件：具有独立法人资格，持有有效的营业执照、安全生产许可证、基本账户开户许可证，为四川省交通建设集团股份有限公司《合格协作方库》内单位。</w:t>
      </w:r>
    </w:p>
    <w:p>
      <w:pPr>
        <w:tabs>
          <w:tab w:val="left" w:pos="3480"/>
          <w:tab w:val="left" w:pos="4520"/>
          <w:tab w:val="left" w:pos="5560"/>
        </w:tabs>
        <w:autoSpaceDE w:val="0"/>
        <w:autoSpaceDN w:val="0"/>
        <w:adjustRightInd w:val="0"/>
        <w:spacing w:line="360" w:lineRule="auto"/>
        <w:ind w:firstLine="420" w:firstLineChars="175"/>
        <w:jc w:val="left"/>
        <w:rPr>
          <w:sz w:val="24"/>
          <w:szCs w:val="24"/>
        </w:rPr>
      </w:pPr>
      <w:r>
        <w:rPr>
          <w:rFonts w:hint="eastAsia" w:ascii="宋体" w:hAnsi="宋体" w:cs="宋体"/>
          <w:sz w:val="24"/>
          <w:szCs w:val="24"/>
        </w:rPr>
        <w:t>3.1.2</w:t>
      </w:r>
      <w:r>
        <w:rPr>
          <w:sz w:val="24"/>
          <w:szCs w:val="24"/>
        </w:rPr>
        <w:t>施工资质、业绩要求：详见本公告附表二。</w:t>
      </w:r>
    </w:p>
    <w:p>
      <w:pPr>
        <w:tabs>
          <w:tab w:val="left" w:pos="3480"/>
          <w:tab w:val="left" w:pos="4520"/>
          <w:tab w:val="left" w:pos="5560"/>
        </w:tabs>
        <w:autoSpaceDE w:val="0"/>
        <w:autoSpaceDN w:val="0"/>
        <w:adjustRightInd w:val="0"/>
        <w:spacing w:line="360" w:lineRule="auto"/>
        <w:ind w:firstLine="420" w:firstLineChars="175"/>
        <w:jc w:val="left"/>
        <w:rPr>
          <w:sz w:val="24"/>
          <w:szCs w:val="24"/>
        </w:rPr>
      </w:pPr>
      <w:r>
        <w:rPr>
          <w:rFonts w:hint="eastAsia" w:ascii="宋体" w:hAnsi="宋体" w:cs="宋体"/>
          <w:sz w:val="24"/>
          <w:szCs w:val="24"/>
        </w:rPr>
        <w:t>3.1.3</w:t>
      </w:r>
      <w:r>
        <w:rPr>
          <w:sz w:val="24"/>
          <w:szCs w:val="24"/>
        </w:rPr>
        <w:t>财务要求：</w:t>
      </w:r>
      <w:r>
        <w:rPr>
          <w:rFonts w:hint="eastAsia"/>
          <w:sz w:val="24"/>
          <w:szCs w:val="24"/>
        </w:rPr>
        <w:t>具有一般纳税人资格，能够按照国家现行税收政策足额开具增值税发票。</w:t>
      </w:r>
    </w:p>
    <w:p>
      <w:pPr>
        <w:pStyle w:val="28"/>
        <w:ind w:firstLine="480" w:firstLineChars="200"/>
        <w:rPr>
          <w:rFonts w:ascii="宋体" w:hAnsi="宋体" w:eastAsia="宋体" w:cs="宋体"/>
          <w:kern w:val="2"/>
          <w:sz w:val="24"/>
          <w:szCs w:val="24"/>
        </w:rPr>
      </w:pPr>
      <w:r>
        <w:rPr>
          <w:rFonts w:hint="eastAsia" w:ascii="宋体" w:hAnsi="宋体" w:eastAsia="宋体" w:cs="宋体"/>
          <w:kern w:val="2"/>
          <w:sz w:val="24"/>
          <w:szCs w:val="24"/>
        </w:rPr>
        <w:t>3.1.4人员</w:t>
      </w:r>
      <w:r>
        <w:rPr>
          <w:rFonts w:ascii="宋体" w:hAnsi="宋体" w:eastAsia="宋体" w:cs="宋体"/>
          <w:kern w:val="2"/>
          <w:sz w:val="24"/>
          <w:szCs w:val="24"/>
        </w:rPr>
        <w:t>要求：具有相应的管理和施工能力，</w:t>
      </w:r>
      <w:r>
        <w:rPr>
          <w:rFonts w:hint="eastAsia" w:ascii="宋体" w:hAnsi="宋体" w:eastAsia="宋体" w:cs="宋体"/>
          <w:kern w:val="2"/>
          <w:sz w:val="24"/>
          <w:szCs w:val="24"/>
        </w:rPr>
        <w:t>人员数量</w:t>
      </w:r>
      <w:r>
        <w:rPr>
          <w:rFonts w:ascii="宋体" w:hAnsi="宋体" w:eastAsia="宋体" w:cs="宋体"/>
          <w:kern w:val="2"/>
          <w:sz w:val="24"/>
          <w:szCs w:val="24"/>
        </w:rPr>
        <w:t>详见本公告附表</w:t>
      </w:r>
      <w:r>
        <w:rPr>
          <w:rFonts w:hint="eastAsia" w:ascii="宋体" w:hAnsi="宋体" w:eastAsia="宋体" w:cs="宋体"/>
          <w:kern w:val="2"/>
          <w:sz w:val="24"/>
          <w:szCs w:val="24"/>
        </w:rPr>
        <w:t>三</w:t>
      </w:r>
      <w:r>
        <w:rPr>
          <w:rFonts w:ascii="宋体" w:hAnsi="宋体" w:eastAsia="宋体" w:cs="宋体"/>
          <w:kern w:val="2"/>
          <w:sz w:val="24"/>
          <w:szCs w:val="24"/>
        </w:rPr>
        <w:t>。</w:t>
      </w:r>
    </w:p>
    <w:p>
      <w:pPr>
        <w:tabs>
          <w:tab w:val="left" w:pos="3480"/>
          <w:tab w:val="left" w:pos="4520"/>
          <w:tab w:val="left" w:pos="5560"/>
        </w:tabs>
        <w:autoSpaceDE w:val="0"/>
        <w:autoSpaceDN w:val="0"/>
        <w:adjustRightInd w:val="0"/>
        <w:spacing w:before="135" w:line="360" w:lineRule="auto"/>
        <w:ind w:firstLine="480" w:firstLineChars="200"/>
        <w:rPr>
          <w:rFonts w:ascii="宋体" w:hAnsi="宋体" w:cs="宋体"/>
          <w:sz w:val="24"/>
          <w:szCs w:val="24"/>
        </w:rPr>
      </w:pPr>
      <w:r>
        <w:rPr>
          <w:rFonts w:hint="eastAsia" w:ascii="宋体" w:hAnsi="宋体" w:cs="宋体"/>
          <w:sz w:val="24"/>
          <w:szCs w:val="24"/>
        </w:rPr>
        <w:t>3.1.5机械设备要求：详见本公告附表四。</w:t>
      </w:r>
    </w:p>
    <w:p>
      <w:pPr>
        <w:tabs>
          <w:tab w:val="left" w:pos="3480"/>
          <w:tab w:val="left" w:pos="4520"/>
          <w:tab w:val="left" w:pos="5560"/>
        </w:tabs>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3.1.6信誉要求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（1）在国家企业信用信息系统（http://www.gsxt.gov.cn/index.html）中被列为严重违法失信企业名单，不接受其投标。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（2）对通过“信用中国”网站（https://www.creditchina.gov.cn/）中查询为失信被执行人的投标人，不接受其投标。</w:t>
      </w:r>
    </w:p>
    <w:p>
      <w:pPr>
        <w:spacing w:line="360" w:lineRule="auto"/>
        <w:ind w:firstLine="482" w:firstLineChars="200"/>
        <w:jc w:val="left"/>
        <w:rPr>
          <w:sz w:val="24"/>
          <w:szCs w:val="24"/>
          <w:u w:val="single"/>
        </w:rPr>
      </w:pPr>
      <w:r>
        <w:rPr>
          <w:rFonts w:hint="eastAsia" w:ascii="宋体" w:hAnsi="宋体" w:cs="宋体"/>
          <w:b/>
          <w:bCs/>
          <w:sz w:val="24"/>
          <w:szCs w:val="24"/>
        </w:rPr>
        <w:t>3.2</w:t>
      </w:r>
      <w:r>
        <w:rPr>
          <w:b/>
          <w:bCs/>
          <w:sz w:val="24"/>
          <w:szCs w:val="24"/>
        </w:rPr>
        <w:t>本次招标</w:t>
      </w:r>
      <w:r>
        <w:rPr>
          <w:rFonts w:hint="eastAsia"/>
          <w:b/>
          <w:bCs/>
          <w:sz w:val="24"/>
          <w:szCs w:val="24"/>
        </w:rPr>
        <w:t>是否</w:t>
      </w:r>
      <w:r>
        <w:rPr>
          <w:b/>
          <w:bCs/>
          <w:sz w:val="24"/>
          <w:szCs w:val="24"/>
        </w:rPr>
        <w:t>接受联合体投标</w:t>
      </w:r>
      <w:r>
        <w:rPr>
          <w:rFonts w:hint="eastAsia"/>
          <w:b/>
          <w:bCs/>
          <w:sz w:val="24"/>
          <w:szCs w:val="24"/>
        </w:rPr>
        <w:t>：</w:t>
      </w:r>
      <w:r>
        <w:rPr>
          <w:rFonts w:hint="eastAsia"/>
          <w:sz w:val="24"/>
          <w:szCs w:val="24"/>
          <w:u w:val="single"/>
        </w:rPr>
        <w:t xml:space="preserve"> 否 </w:t>
      </w:r>
    </w:p>
    <w:p>
      <w:pPr>
        <w:tabs>
          <w:tab w:val="left" w:pos="3480"/>
          <w:tab w:val="left" w:pos="4520"/>
          <w:tab w:val="left" w:pos="5560"/>
        </w:tabs>
        <w:autoSpaceDE w:val="0"/>
        <w:autoSpaceDN w:val="0"/>
        <w:adjustRightInd w:val="0"/>
        <w:spacing w:line="360" w:lineRule="auto"/>
        <w:ind w:firstLine="422" w:firstLineChars="175"/>
        <w:rPr>
          <w:rFonts w:ascii="宋体" w:hAnsi="宋体" w:cs="宋体"/>
          <w:b/>
          <w:kern w:val="0"/>
          <w:sz w:val="24"/>
          <w:szCs w:val="24"/>
          <w:lang w:bidi="zh-CN"/>
        </w:rPr>
      </w:pPr>
      <w:r>
        <w:rPr>
          <w:rFonts w:hint="eastAsia" w:ascii="宋体" w:hAnsi="宋体" w:cs="宋体"/>
          <w:b/>
          <w:kern w:val="0"/>
          <w:sz w:val="24"/>
          <w:szCs w:val="24"/>
          <w:lang w:bidi="zh-CN"/>
        </w:rPr>
        <w:t>4.履约保证金</w:t>
      </w:r>
    </w:p>
    <w:p>
      <w:pPr>
        <w:pStyle w:val="2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投标人中标后需缴纳不低于相应段落中标价</w:t>
      </w:r>
      <w:r>
        <w:rPr>
          <w:rFonts w:hint="eastAsia" w:ascii="宋体" w:hAnsi="宋体" w:eastAsia="宋体" w:cs="宋体"/>
          <w:sz w:val="24"/>
          <w:szCs w:val="24"/>
          <w:u w:val="single"/>
        </w:rPr>
        <w:t>1</w:t>
      </w:r>
      <w:r>
        <w:rPr>
          <w:rFonts w:hint="eastAsia" w:ascii="宋体" w:hAnsi="宋体" w:eastAsia="宋体" w:cs="宋体"/>
          <w:sz w:val="24"/>
          <w:szCs w:val="24"/>
        </w:rPr>
        <w:t>%的履约保证金或金融机构履约保函。</w:t>
      </w:r>
    </w:p>
    <w:p>
      <w:pPr>
        <w:tabs>
          <w:tab w:val="left" w:pos="3480"/>
          <w:tab w:val="left" w:pos="4520"/>
          <w:tab w:val="left" w:pos="5560"/>
        </w:tabs>
        <w:autoSpaceDE w:val="0"/>
        <w:autoSpaceDN w:val="0"/>
        <w:adjustRightInd w:val="0"/>
        <w:spacing w:line="360" w:lineRule="auto"/>
        <w:ind w:firstLine="482" w:firstLineChars="200"/>
        <w:rPr>
          <w:rFonts w:ascii="宋体" w:hAnsi="宋体" w:cs="宋体"/>
          <w:b/>
          <w:kern w:val="0"/>
          <w:sz w:val="24"/>
          <w:szCs w:val="24"/>
          <w:lang w:bidi="zh-CN"/>
        </w:rPr>
      </w:pPr>
      <w:r>
        <w:rPr>
          <w:rFonts w:hint="eastAsia" w:ascii="宋体" w:hAnsi="宋体" w:cs="宋体"/>
          <w:b/>
          <w:kern w:val="0"/>
          <w:sz w:val="24"/>
          <w:szCs w:val="24"/>
          <w:lang w:bidi="zh-CN"/>
        </w:rPr>
        <w:t>5.投标保证金</w:t>
      </w:r>
    </w:p>
    <w:p>
      <w:pPr>
        <w:pStyle w:val="45"/>
        <w:spacing w:line="360" w:lineRule="auto"/>
        <w:ind w:firstLine="480" w:firstLineChars="200"/>
        <w:jc w:val="both"/>
        <w:rPr>
          <w:rFonts w:ascii="宋体" w:hAnsi="宋体"/>
          <w:kern w:val="2"/>
          <w:sz w:val="24"/>
          <w:szCs w:val="24"/>
        </w:rPr>
      </w:pPr>
      <w:r>
        <w:rPr>
          <w:rFonts w:hint="eastAsia" w:ascii="宋体" w:hAnsi="宋体"/>
          <w:sz w:val="24"/>
          <w:szCs w:val="24"/>
        </w:rPr>
        <w:t>投标人在递交投标文件截止日之前，按投标人须知的规定向投标人指定的银行账户提交人民币5万元的投标保证金。</w:t>
      </w:r>
    </w:p>
    <w:p>
      <w:pPr>
        <w:pStyle w:val="2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投标人应确保银行汇票真实有效，提供虚假汇票的投标文件无效。</w:t>
      </w:r>
    </w:p>
    <w:p>
      <w:pPr>
        <w:pStyle w:val="28"/>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6.信用奖励</w:t>
      </w:r>
    </w:p>
    <w:p>
      <w:pPr>
        <w:pStyle w:val="28"/>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6.1获得招标人A级信用评价的投标人：</w:t>
      </w:r>
      <w:r>
        <w:rPr>
          <w:rFonts w:hint="eastAsia" w:ascii="宋体" w:hAnsi="宋体" w:eastAsia="宋体" w:cs="宋体"/>
          <w:sz w:val="24"/>
          <w:szCs w:val="24"/>
        </w:rPr>
        <w:t>履约保证金、投标保证金按80%缴纳。</w:t>
      </w:r>
    </w:p>
    <w:p>
      <w:pPr>
        <w:pStyle w:val="28"/>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6.2获得招标人AA级信用评价的投标人</w:t>
      </w:r>
      <w:r>
        <w:rPr>
          <w:rFonts w:hint="eastAsia" w:ascii="宋体" w:hAnsi="宋体" w:eastAsia="宋体" w:cs="宋体"/>
          <w:sz w:val="24"/>
          <w:szCs w:val="24"/>
        </w:rPr>
        <w:t>：履约保证金、投标保证金按60%缴纳。</w:t>
      </w:r>
    </w:p>
    <w:p>
      <w:pPr>
        <w:pStyle w:val="2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6.3 被四川省交通运输厅评为2020年度“AA”或“A”信用等级且施工资质为总承包一级及以上的投标人，本年度内信用等级按A级处理。</w:t>
      </w:r>
    </w:p>
    <w:p>
      <w:pPr>
        <w:tabs>
          <w:tab w:val="left" w:pos="3480"/>
          <w:tab w:val="left" w:pos="4520"/>
          <w:tab w:val="left" w:pos="5560"/>
        </w:tabs>
        <w:autoSpaceDE w:val="0"/>
        <w:autoSpaceDN w:val="0"/>
        <w:adjustRightInd w:val="0"/>
        <w:spacing w:line="360" w:lineRule="auto"/>
        <w:ind w:firstLine="422" w:firstLineChars="175"/>
        <w:rPr>
          <w:rFonts w:ascii="宋体" w:hAnsi="宋体" w:cs="宋体"/>
          <w:b/>
          <w:kern w:val="0"/>
          <w:sz w:val="24"/>
          <w:szCs w:val="24"/>
          <w:lang w:bidi="zh-CN"/>
        </w:rPr>
      </w:pPr>
      <w:r>
        <w:rPr>
          <w:rFonts w:hint="eastAsia" w:ascii="宋体" w:hAnsi="宋体" w:cs="宋体"/>
          <w:b/>
          <w:kern w:val="0"/>
          <w:sz w:val="24"/>
          <w:szCs w:val="24"/>
          <w:lang w:bidi="zh-CN"/>
        </w:rPr>
        <w:t>7.招标文件的获取</w:t>
      </w:r>
    </w:p>
    <w:p>
      <w:pPr>
        <w:spacing w:line="360" w:lineRule="auto"/>
        <w:ind w:firstLine="480" w:firstLineChars="200"/>
        <w:rPr>
          <w:rFonts w:hint="eastAsia" w:ascii="宋体" w:hAnsi="宋体" w:cs="宋体"/>
          <w:b/>
          <w:bCs/>
          <w:sz w:val="24"/>
          <w:szCs w:val="24"/>
          <w:u w:val="single"/>
        </w:rPr>
      </w:pPr>
      <w:r>
        <w:rPr>
          <w:rFonts w:hint="eastAsia" w:ascii="宋体" w:hAnsi="宋体" w:cs="宋体"/>
          <w:sz w:val="24"/>
          <w:szCs w:val="24"/>
        </w:rPr>
        <w:t>7.1凡有意参加本项目的潜在投标人，请于</w:t>
      </w:r>
      <w:r>
        <w:rPr>
          <w:rFonts w:hint="eastAsia" w:ascii="宋体" w:hAnsi="宋体" w:cs="宋体"/>
          <w:sz w:val="24"/>
          <w:szCs w:val="24"/>
          <w:u w:val="single"/>
        </w:rPr>
        <w:t xml:space="preserve"> 2021 </w:t>
      </w:r>
      <w:r>
        <w:rPr>
          <w:rFonts w:hint="eastAsia" w:ascii="宋体" w:hAnsi="宋体" w:cs="宋体"/>
          <w:sz w:val="24"/>
          <w:szCs w:val="24"/>
        </w:rPr>
        <w:t>年</w:t>
      </w:r>
      <w:r>
        <w:rPr>
          <w:rFonts w:hint="eastAsia" w:ascii="宋体" w:hAnsi="宋体" w:cs="宋体"/>
          <w:sz w:val="24"/>
          <w:szCs w:val="24"/>
          <w:u w:val="single"/>
        </w:rPr>
        <w:t xml:space="preserve"> 9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8</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2021 </w:t>
      </w:r>
      <w:r>
        <w:rPr>
          <w:rFonts w:hint="eastAsia" w:ascii="宋体" w:hAnsi="宋体" w:cs="宋体"/>
          <w:sz w:val="24"/>
          <w:szCs w:val="24"/>
        </w:rPr>
        <w:t>年</w:t>
      </w:r>
      <w:r>
        <w:rPr>
          <w:rFonts w:hint="eastAsia" w:ascii="宋体" w:hAnsi="宋体" w:cs="宋体"/>
          <w:sz w:val="24"/>
          <w:szCs w:val="24"/>
          <w:u w:val="single"/>
        </w:rPr>
        <w:t xml:space="preserve"> 9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cs="宋体"/>
          <w:sz w:val="24"/>
          <w:szCs w:val="24"/>
        </w:rPr>
        <w:t>日上午8：30-11：30、下午14：30-17：30现场报名。（报名需持单位介绍信、经办人身份证、营业执照、资质证书复印件加盖鲜章）</w:t>
      </w:r>
    </w:p>
    <w:p>
      <w:pPr>
        <w:spacing w:line="360" w:lineRule="auto"/>
        <w:ind w:firstLine="482" w:firstLineChars="200"/>
        <w:rPr>
          <w:rFonts w:ascii="宋体" w:hAnsi="宋体" w:cs="宋体"/>
          <w:b/>
          <w:bCs/>
          <w:sz w:val="24"/>
          <w:szCs w:val="24"/>
          <w:u w:val="single"/>
        </w:rPr>
      </w:pPr>
      <w:r>
        <w:rPr>
          <w:rFonts w:hint="eastAsia" w:ascii="宋体" w:hAnsi="宋体" w:cs="宋体"/>
          <w:b/>
          <w:bCs/>
          <w:sz w:val="24"/>
          <w:szCs w:val="24"/>
        </w:rPr>
        <w:t>地点：</w:t>
      </w:r>
      <w:r>
        <w:rPr>
          <w:rFonts w:hint="eastAsia" w:ascii="宋体" w:hAnsi="宋体" w:cs="宋体"/>
          <w:sz w:val="24"/>
          <w:szCs w:val="24"/>
        </w:rPr>
        <w:t>四川省成都市武侯区二环路西一段金科双楠天都2栋12楼1215室。</w:t>
      </w:r>
    </w:p>
    <w:p>
      <w:pPr>
        <w:tabs>
          <w:tab w:val="left" w:pos="416"/>
        </w:tabs>
        <w:autoSpaceDE w:val="0"/>
        <w:autoSpaceDN w:val="0"/>
        <w:spacing w:before="122" w:line="360" w:lineRule="auto"/>
        <w:ind w:left="100" w:firstLine="480" w:firstLineChars="200"/>
        <w:jc w:val="left"/>
        <w:rPr>
          <w:rFonts w:ascii="宋体" w:hAnsi="宋体" w:cs="宋体"/>
          <w:b/>
          <w:bCs/>
          <w:sz w:val="24"/>
          <w:szCs w:val="24"/>
          <w:u w:val="single"/>
        </w:rPr>
      </w:pPr>
      <w:r>
        <w:rPr>
          <w:rFonts w:hint="eastAsia" w:ascii="宋体" w:hAnsi="宋体" w:cs="宋体"/>
          <w:sz w:val="24"/>
          <w:szCs w:val="24"/>
        </w:rPr>
        <w:t>7.2招标文件售价800元/份，购买时不接受现金</w:t>
      </w:r>
      <w:r>
        <w:rPr>
          <w:rFonts w:hint="eastAsia" w:ascii="宋体" w:hAnsi="宋体" w:cs="宋体"/>
          <w:b/>
          <w:bCs/>
          <w:sz w:val="24"/>
          <w:szCs w:val="24"/>
          <w:u w:val="single"/>
        </w:rPr>
        <w:t>（转账时备注“雅西高速公路铁寨子1#桥下边坡地质灾害处治工程施工分包招标文件资料费”）。</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缴纳标书购买费开户银行及账号：</w:t>
      </w:r>
    </w:p>
    <w:p>
      <w:pPr>
        <w:spacing w:line="360" w:lineRule="auto"/>
        <w:ind w:firstLine="480" w:firstLineChars="200"/>
        <w:rPr>
          <w:rFonts w:ascii="宋体" w:hAnsi="宋体" w:cs="宋体"/>
          <w:sz w:val="24"/>
          <w:szCs w:val="24"/>
        </w:rPr>
      </w:pPr>
      <w:r>
        <w:rPr>
          <w:rFonts w:hint="eastAsia" w:ascii="宋体" w:hAnsi="宋体" w:cs="宋体"/>
          <w:sz w:val="24"/>
          <w:szCs w:val="24"/>
        </w:rPr>
        <w:t>账户名称：四川省交通建设集团股份有限公司</w:t>
      </w:r>
      <w:r>
        <w:rPr>
          <w:rFonts w:hint="eastAsia" w:ascii="宋体" w:hAnsi="宋体" w:cs="宋体"/>
          <w:sz w:val="24"/>
          <w:szCs w:val="24"/>
        </w:rPr>
        <w:tab/>
      </w:r>
    </w:p>
    <w:p>
      <w:pPr>
        <w:spacing w:line="360" w:lineRule="auto"/>
        <w:ind w:firstLine="480" w:firstLineChars="200"/>
        <w:rPr>
          <w:rFonts w:ascii="宋体" w:hAnsi="宋体" w:cs="宋体"/>
          <w:sz w:val="24"/>
          <w:szCs w:val="24"/>
        </w:rPr>
      </w:pPr>
      <w:r>
        <w:rPr>
          <w:rFonts w:hint="eastAsia" w:ascii="宋体" w:hAnsi="宋体" w:cs="宋体"/>
          <w:sz w:val="24"/>
          <w:szCs w:val="24"/>
        </w:rPr>
        <w:t>开户银行：中国银行成都双楠支行</w:t>
      </w:r>
    </w:p>
    <w:p>
      <w:pPr>
        <w:spacing w:line="360" w:lineRule="auto"/>
        <w:ind w:firstLine="480" w:firstLineChars="200"/>
        <w:rPr>
          <w:rFonts w:ascii="宋体" w:hAnsi="宋体" w:cs="宋体"/>
          <w:sz w:val="24"/>
          <w:szCs w:val="24"/>
        </w:rPr>
      </w:pPr>
      <w:r>
        <w:rPr>
          <w:rFonts w:hint="eastAsia" w:ascii="宋体" w:hAnsi="宋体" w:cs="宋体"/>
          <w:sz w:val="24"/>
          <w:szCs w:val="24"/>
        </w:rPr>
        <w:t>账号：1252 9763 2695</w:t>
      </w:r>
    </w:p>
    <w:p>
      <w:pPr>
        <w:pStyle w:val="28"/>
        <w:snapToGrid w:val="0"/>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7.3 购买招标文件时，请投标人出示已缴纳招标文件费用的凭证，并自行携带U盘（容量不小于8G），拷贝电子版图纸和固化工程量清单。</w:t>
      </w:r>
    </w:p>
    <w:p>
      <w:pPr>
        <w:tabs>
          <w:tab w:val="left" w:pos="3480"/>
          <w:tab w:val="left" w:pos="4520"/>
          <w:tab w:val="left" w:pos="5560"/>
        </w:tabs>
        <w:autoSpaceDE w:val="0"/>
        <w:autoSpaceDN w:val="0"/>
        <w:adjustRightInd w:val="0"/>
        <w:snapToGrid w:val="0"/>
        <w:spacing w:line="360" w:lineRule="auto"/>
        <w:ind w:firstLine="422" w:firstLineChars="175"/>
        <w:rPr>
          <w:rFonts w:ascii="宋体" w:hAnsi="宋体" w:cs="宋体"/>
          <w:b/>
          <w:kern w:val="0"/>
          <w:sz w:val="24"/>
          <w:szCs w:val="24"/>
          <w:lang w:bidi="zh-CN"/>
        </w:rPr>
      </w:pPr>
      <w:r>
        <w:rPr>
          <w:rFonts w:hint="eastAsia" w:ascii="宋体" w:hAnsi="宋体" w:cs="宋体"/>
          <w:b/>
          <w:kern w:val="0"/>
          <w:sz w:val="24"/>
          <w:szCs w:val="24"/>
          <w:lang w:bidi="zh-CN"/>
        </w:rPr>
        <w:t>8.评标办法：综合评分法</w:t>
      </w:r>
    </w:p>
    <w:p>
      <w:pPr>
        <w:tabs>
          <w:tab w:val="left" w:pos="3480"/>
          <w:tab w:val="left" w:pos="4520"/>
          <w:tab w:val="left" w:pos="5560"/>
        </w:tabs>
        <w:autoSpaceDE w:val="0"/>
        <w:autoSpaceDN w:val="0"/>
        <w:adjustRightInd w:val="0"/>
        <w:snapToGrid w:val="0"/>
        <w:spacing w:line="360" w:lineRule="auto"/>
        <w:ind w:firstLine="422" w:firstLineChars="175"/>
        <w:rPr>
          <w:rFonts w:ascii="宋体" w:hAnsi="宋体" w:cs="宋体"/>
          <w:b/>
          <w:kern w:val="0"/>
          <w:sz w:val="24"/>
          <w:szCs w:val="24"/>
          <w:lang w:bidi="zh-CN"/>
        </w:rPr>
      </w:pPr>
      <w:r>
        <w:rPr>
          <w:rFonts w:hint="eastAsia" w:ascii="宋体" w:hAnsi="宋体" w:cs="宋体"/>
          <w:b/>
          <w:kern w:val="0"/>
          <w:sz w:val="24"/>
          <w:szCs w:val="24"/>
          <w:lang w:bidi="zh-CN"/>
        </w:rPr>
        <w:t>9.投标文件的递交及相关事宜</w:t>
      </w:r>
    </w:p>
    <w:p>
      <w:pPr>
        <w:tabs>
          <w:tab w:val="left" w:pos="3480"/>
          <w:tab w:val="left" w:pos="4520"/>
          <w:tab w:val="left" w:pos="5560"/>
        </w:tabs>
        <w:autoSpaceDE w:val="0"/>
        <w:autoSpaceDN w:val="0"/>
        <w:adjustRightInd w:val="0"/>
        <w:snapToGrid w:val="0"/>
        <w:spacing w:line="360" w:lineRule="auto"/>
        <w:ind w:firstLine="422" w:firstLineChars="175"/>
        <w:jc w:val="left"/>
        <w:rPr>
          <w:rFonts w:ascii="宋体" w:hAnsi="宋体" w:cs="宋体"/>
          <w:b/>
          <w:kern w:val="0"/>
          <w:sz w:val="24"/>
          <w:szCs w:val="24"/>
          <w:lang w:bidi="zh-CN"/>
        </w:rPr>
      </w:pPr>
      <w:r>
        <w:rPr>
          <w:rFonts w:hint="eastAsia" w:ascii="宋体" w:hAnsi="宋体" w:cs="宋体"/>
          <w:b/>
          <w:kern w:val="0"/>
          <w:sz w:val="24"/>
          <w:szCs w:val="24"/>
          <w:lang w:bidi="zh-CN"/>
        </w:rPr>
        <w:t>9.1现场踏勘及投标预备会：</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现场踏勘：不组织现场踏勘，由投标人自行考察，并负责考察过程中的交通、安全以及相关费用。</w:t>
      </w:r>
    </w:p>
    <w:p>
      <w:pPr>
        <w:spacing w:line="360" w:lineRule="auto"/>
        <w:ind w:firstLine="482" w:firstLineChars="200"/>
        <w:jc w:val="left"/>
        <w:rPr>
          <w:rFonts w:ascii="宋体" w:hAnsi="宋体" w:cs="宋体"/>
          <w:sz w:val="24"/>
          <w:szCs w:val="24"/>
        </w:rPr>
      </w:pPr>
      <w:r>
        <w:rPr>
          <w:rFonts w:hint="eastAsia" w:ascii="宋体" w:hAnsi="宋体" w:cs="宋体"/>
          <w:b/>
          <w:bCs/>
          <w:sz w:val="24"/>
          <w:szCs w:val="24"/>
        </w:rPr>
        <w:t>9.2投标文件的送交：</w:t>
      </w:r>
    </w:p>
    <w:p>
      <w:pPr>
        <w:spacing w:line="360" w:lineRule="auto"/>
        <w:ind w:firstLine="482" w:firstLineChars="200"/>
        <w:jc w:val="left"/>
        <w:rPr>
          <w:rFonts w:ascii="宋体" w:hAnsi="宋体" w:cs="宋体"/>
          <w:b/>
          <w:bCs/>
          <w:kern w:val="0"/>
          <w:sz w:val="24"/>
          <w:szCs w:val="24"/>
        </w:rPr>
      </w:pPr>
      <w:r>
        <w:rPr>
          <w:rFonts w:hint="eastAsia" w:ascii="宋体" w:hAnsi="宋体" w:cs="宋体"/>
          <w:b/>
          <w:bCs/>
          <w:sz w:val="24"/>
          <w:szCs w:val="24"/>
        </w:rPr>
        <w:t>投标文件的递交时间为：</w:t>
      </w:r>
      <w:r>
        <w:rPr>
          <w:rFonts w:hint="eastAsia" w:ascii="宋体" w:hAnsi="宋体" w:cs="宋体"/>
          <w:b/>
          <w:bCs/>
          <w:sz w:val="24"/>
          <w:szCs w:val="24"/>
          <w:u w:val="single"/>
        </w:rPr>
        <w:t xml:space="preserve"> 2021 </w:t>
      </w:r>
      <w:r>
        <w:rPr>
          <w:rFonts w:hint="eastAsia" w:ascii="宋体" w:hAnsi="宋体" w:cs="宋体"/>
          <w:b/>
          <w:bCs/>
          <w:sz w:val="24"/>
          <w:szCs w:val="24"/>
        </w:rPr>
        <w:t>年</w:t>
      </w:r>
      <w:r>
        <w:rPr>
          <w:rFonts w:hint="eastAsia" w:ascii="宋体" w:hAnsi="宋体" w:cs="宋体"/>
          <w:b/>
          <w:bCs/>
          <w:sz w:val="24"/>
          <w:szCs w:val="24"/>
          <w:u w:val="single"/>
        </w:rPr>
        <w:t xml:space="preserve"> 9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16</w:t>
      </w:r>
      <w:r>
        <w:rPr>
          <w:rFonts w:hint="eastAsia" w:ascii="宋体" w:hAnsi="宋体" w:cs="宋体"/>
          <w:b/>
          <w:bCs/>
          <w:sz w:val="24"/>
          <w:szCs w:val="24"/>
          <w:u w:val="single"/>
        </w:rPr>
        <w:t xml:space="preserve"> </w:t>
      </w:r>
      <w:r>
        <w:rPr>
          <w:rFonts w:hint="eastAsia" w:ascii="宋体" w:hAnsi="宋体" w:cs="宋体"/>
          <w:b/>
          <w:bCs/>
          <w:sz w:val="24"/>
          <w:szCs w:val="24"/>
        </w:rPr>
        <w:t>日</w:t>
      </w:r>
      <w:r>
        <w:rPr>
          <w:rFonts w:hint="eastAsia" w:ascii="宋体" w:hAnsi="宋体" w:cs="宋体"/>
          <w:b/>
          <w:bCs/>
          <w:sz w:val="24"/>
          <w:szCs w:val="24"/>
          <w:u w:val="single"/>
        </w:rPr>
        <w:t xml:space="preserve"> 9:30-10:00</w:t>
      </w:r>
      <w:r>
        <w:rPr>
          <w:rFonts w:hint="eastAsia" w:ascii="宋体" w:hAnsi="宋体" w:cs="宋体"/>
          <w:b/>
          <w:bCs/>
          <w:sz w:val="24"/>
          <w:szCs w:val="24"/>
        </w:rPr>
        <w:t>时，投标人须将按要求密封完好的投标文件以面交方式送达：成都市武侯区二环路西一段90号四川交投大厦8楼四川省交通建设集团股份有限公司A826开标室。</w:t>
      </w:r>
      <w:r>
        <w:rPr>
          <w:rFonts w:hint="eastAsia" w:ascii="宋体" w:hAnsi="宋体" w:cs="宋体"/>
          <w:b/>
          <w:bCs/>
          <w:kern w:val="0"/>
          <w:sz w:val="24"/>
          <w:szCs w:val="24"/>
        </w:rPr>
        <w:t>招标人定于投标文件送交截止时间的同一时间、同一地点举行公开开标，投标人应派代表出席并签认开标结果。</w:t>
      </w:r>
    </w:p>
    <w:p>
      <w:pPr>
        <w:spacing w:line="360" w:lineRule="auto"/>
        <w:ind w:firstLine="482" w:firstLineChars="200"/>
      </w:pPr>
      <w:r>
        <w:rPr>
          <w:rFonts w:hint="eastAsia" w:ascii="宋体" w:hAnsi="宋体" w:cs="宋体"/>
          <w:b/>
          <w:bCs/>
          <w:kern w:val="0"/>
          <w:sz w:val="24"/>
          <w:szCs w:val="24"/>
        </w:rPr>
        <w:t>9.3</w:t>
      </w:r>
      <w:r>
        <w:rPr>
          <w:rFonts w:hint="eastAsia" w:ascii="宋体" w:hAnsi="宋体" w:cs="宋体"/>
          <w:kern w:val="0"/>
          <w:sz w:val="24"/>
          <w:szCs w:val="24"/>
        </w:rPr>
        <w:t>逾期送达的或者未送达指定地点或未按招标文件要求密封的投标文件，招标人不予受理。</w:t>
      </w:r>
    </w:p>
    <w:p>
      <w:pPr>
        <w:tabs>
          <w:tab w:val="left" w:pos="3480"/>
          <w:tab w:val="left" w:pos="4520"/>
          <w:tab w:val="left" w:pos="5560"/>
        </w:tabs>
        <w:autoSpaceDE w:val="0"/>
        <w:autoSpaceDN w:val="0"/>
        <w:adjustRightInd w:val="0"/>
        <w:spacing w:line="360" w:lineRule="auto"/>
        <w:ind w:firstLine="422" w:firstLineChars="175"/>
        <w:rPr>
          <w:rFonts w:ascii="宋体" w:hAnsi="宋体" w:cs="宋体"/>
          <w:b/>
          <w:kern w:val="0"/>
          <w:sz w:val="24"/>
          <w:szCs w:val="24"/>
          <w:lang w:bidi="zh-CN"/>
        </w:rPr>
      </w:pPr>
      <w:r>
        <w:rPr>
          <w:rFonts w:hint="eastAsia" w:ascii="宋体" w:hAnsi="宋体" w:cs="宋体"/>
          <w:b/>
          <w:kern w:val="0"/>
          <w:sz w:val="24"/>
          <w:szCs w:val="24"/>
          <w:lang w:bidi="zh-CN"/>
        </w:rPr>
        <w:t>10.招标工作公开接受社会监督</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10.1中标结果公示：招标人在确定中标人之日起 3 日内，将中标结果在四川省交通建设集团股份有限公司官网（http://www.scjtgc.com/）上公示 3 个工作日以接受社会公开监督。投标人或者其他利害关系人对评标结果有异议的，应当在中标人公示期间书面提出。</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10.2投诉处理：投诉材料要求、投诉受理条件及查处参照七部委令第 11 号和川交函[2017]29 号对投诉的规定执行。超出投诉时效的，则不予受理。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10.3监督电话：028-83334690</w:t>
      </w:r>
    </w:p>
    <w:p>
      <w:pPr>
        <w:pStyle w:val="28"/>
        <w:rPr>
          <w:rFonts w:ascii="宋体" w:hAnsi="宋体" w:cs="宋体"/>
          <w:sz w:val="24"/>
          <w:szCs w:val="24"/>
        </w:rPr>
      </w:pPr>
    </w:p>
    <w:p>
      <w:pPr>
        <w:tabs>
          <w:tab w:val="left" w:pos="3480"/>
          <w:tab w:val="left" w:pos="4520"/>
          <w:tab w:val="left" w:pos="5560"/>
        </w:tabs>
        <w:autoSpaceDE w:val="0"/>
        <w:autoSpaceDN w:val="0"/>
        <w:adjustRightInd w:val="0"/>
        <w:spacing w:line="360" w:lineRule="auto"/>
        <w:ind w:firstLine="422" w:firstLineChars="175"/>
        <w:rPr>
          <w:rFonts w:ascii="宋体" w:hAnsi="宋体" w:cs="宋体"/>
          <w:b/>
          <w:kern w:val="0"/>
          <w:sz w:val="24"/>
          <w:szCs w:val="24"/>
          <w:lang w:bidi="zh-CN"/>
        </w:rPr>
      </w:pPr>
      <w:r>
        <w:rPr>
          <w:rFonts w:hint="eastAsia" w:ascii="宋体" w:hAnsi="宋体" w:cs="宋体"/>
          <w:b/>
          <w:kern w:val="0"/>
          <w:sz w:val="24"/>
          <w:szCs w:val="24"/>
          <w:lang w:bidi="zh-CN"/>
        </w:rPr>
        <w:t>11.联系方式</w:t>
      </w:r>
    </w:p>
    <w:p>
      <w:pPr>
        <w:snapToGrid w:val="0"/>
        <w:spacing w:line="360" w:lineRule="auto"/>
        <w:rPr>
          <w:rFonts w:ascii="宋体" w:hAnsi="宋体" w:cs="宋体"/>
          <w:kern w:val="0"/>
          <w:sz w:val="24"/>
          <w:szCs w:val="24"/>
        </w:rPr>
      </w:pPr>
      <w:r>
        <w:rPr>
          <w:rFonts w:hint="eastAsia" w:ascii="宋体" w:hAnsi="宋体" w:cs="宋体"/>
          <w:kern w:val="0"/>
          <w:sz w:val="24"/>
          <w:szCs w:val="24"/>
        </w:rPr>
        <w:t>招 标 人：四川省交通建设集团股份有限公司</w:t>
      </w:r>
    </w:p>
    <w:p>
      <w:pPr>
        <w:snapToGrid w:val="0"/>
        <w:spacing w:line="360" w:lineRule="auto"/>
        <w:rPr>
          <w:rFonts w:ascii="宋体" w:hAnsi="宋体" w:cs="宋体"/>
          <w:kern w:val="0"/>
          <w:sz w:val="24"/>
          <w:szCs w:val="24"/>
        </w:rPr>
      </w:pPr>
      <w:r>
        <w:rPr>
          <w:rFonts w:hint="eastAsia" w:ascii="宋体" w:hAnsi="宋体" w:cs="宋体"/>
          <w:kern w:val="0"/>
          <w:sz w:val="24"/>
          <w:szCs w:val="24"/>
        </w:rPr>
        <w:t>地    址：</w:t>
      </w:r>
      <w:r>
        <w:rPr>
          <w:rFonts w:hint="eastAsia" w:ascii="宋体" w:hAnsi="宋体" w:cs="宋体"/>
          <w:kern w:val="0"/>
          <w:sz w:val="24"/>
          <w:szCs w:val="24"/>
          <w:u w:val="single"/>
        </w:rPr>
        <w:t>成都市二环路西一段金科双楠天都2栋12楼1218室</w:t>
      </w:r>
    </w:p>
    <w:p>
      <w:pPr>
        <w:snapToGrid w:val="0"/>
        <w:spacing w:line="360" w:lineRule="auto"/>
        <w:rPr>
          <w:rFonts w:ascii="宋体" w:hAnsi="宋体" w:cs="宋体"/>
          <w:kern w:val="0"/>
          <w:sz w:val="24"/>
          <w:szCs w:val="24"/>
        </w:rPr>
      </w:pPr>
      <w:r>
        <w:rPr>
          <w:rFonts w:hint="eastAsia" w:ascii="宋体" w:hAnsi="宋体" w:cs="宋体"/>
          <w:kern w:val="0"/>
          <w:sz w:val="24"/>
          <w:szCs w:val="24"/>
        </w:rPr>
        <w:t>联 系 人：许女士    电话：15882297876</w:t>
      </w:r>
    </w:p>
    <w:p>
      <w:pPr>
        <w:snapToGrid w:val="0"/>
        <w:spacing w:line="360" w:lineRule="auto"/>
        <w:jc w:val="right"/>
        <w:rPr>
          <w:rFonts w:ascii="宋体" w:hAnsi="宋体" w:cs="宋体"/>
          <w:kern w:val="0"/>
          <w:sz w:val="24"/>
          <w:szCs w:val="24"/>
        </w:rPr>
      </w:pPr>
    </w:p>
    <w:p>
      <w:pPr>
        <w:pStyle w:val="22"/>
      </w:pP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 xml:space="preserve">                                招 标 人：四川省交通建设集团股份有限公司   </w:t>
      </w:r>
    </w:p>
    <w:p>
      <w:pPr>
        <w:wordWrap w:val="0"/>
        <w:spacing w:line="360" w:lineRule="auto"/>
        <w:jc w:val="right"/>
        <w:rPr>
          <w:rFonts w:ascii="宋体" w:hAnsi="宋体" w:cs="宋体"/>
          <w:kern w:val="0"/>
          <w:sz w:val="24"/>
          <w:szCs w:val="24"/>
        </w:rPr>
        <w:sectPr>
          <w:footerReference r:id="rId5" w:type="default"/>
          <w:pgSz w:w="11911" w:h="16838"/>
          <w:pgMar w:top="1599" w:right="1179" w:bottom="1298" w:left="1100" w:header="0" w:footer="567" w:gutter="0"/>
          <w:cols w:space="720" w:num="1"/>
          <w:docGrid w:linePitch="1" w:charSpace="0"/>
        </w:sectPr>
      </w:pPr>
      <w:r>
        <w:rPr>
          <w:rFonts w:hint="eastAsia" w:ascii="宋体" w:hAnsi="宋体" w:cs="宋体"/>
          <w:kern w:val="0"/>
          <w:sz w:val="24"/>
          <w:szCs w:val="24"/>
          <w:u w:val="single"/>
        </w:rPr>
        <w:t xml:space="preserve"> 2021 </w:t>
      </w:r>
      <w:r>
        <w:rPr>
          <w:rFonts w:hint="eastAsia" w:ascii="宋体" w:hAnsi="宋体" w:cs="宋体"/>
          <w:kern w:val="0"/>
          <w:sz w:val="24"/>
          <w:szCs w:val="24"/>
        </w:rPr>
        <w:t>年</w:t>
      </w:r>
      <w:r>
        <w:rPr>
          <w:rFonts w:hint="eastAsia" w:ascii="宋体" w:hAnsi="宋体" w:cs="宋体"/>
          <w:kern w:val="0"/>
          <w:sz w:val="24"/>
          <w:szCs w:val="24"/>
          <w:u w:val="single"/>
        </w:rPr>
        <w:t xml:space="preserve"> 9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日             </w:t>
      </w:r>
    </w:p>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tabs>
          <w:tab w:val="left" w:pos="416"/>
        </w:tabs>
        <w:autoSpaceDE w:val="0"/>
        <w:autoSpaceDN w:val="0"/>
        <w:spacing w:before="122" w:line="360" w:lineRule="auto"/>
        <w:ind w:left="100"/>
        <w:jc w:val="center"/>
        <w:rPr>
          <w:rFonts w:ascii="仿宋" w:hAnsi="仿宋" w:eastAsia="仿宋" w:cs="仿宋"/>
          <w:b/>
          <w:bCs/>
          <w:sz w:val="32"/>
          <w:szCs w:val="32"/>
        </w:rPr>
      </w:pPr>
      <w:r>
        <w:rPr>
          <w:rFonts w:hint="eastAsia" w:ascii="仿宋" w:hAnsi="仿宋" w:eastAsia="仿宋" w:cs="仿宋"/>
          <w:b/>
          <w:bCs/>
          <w:sz w:val="32"/>
          <w:szCs w:val="32"/>
        </w:rPr>
        <w:t>雅西高速公路铁寨子1#桥下边坡地质灾害处治工程施工分包分段划分、工程规模、工期统计表</w:t>
      </w:r>
    </w:p>
    <w:p>
      <w:pPr>
        <w:pStyle w:val="28"/>
        <w:ind w:firstLine="0"/>
        <w:jc w:val="left"/>
        <w:rPr>
          <w:rFonts w:ascii="宋体" w:hAnsi="宋体" w:eastAsia="宋体" w:cs="宋体"/>
          <w:b/>
          <w:sz w:val="28"/>
          <w:szCs w:val="28"/>
        </w:rPr>
      </w:pPr>
      <w:bookmarkStart w:id="7" w:name="_Toc20280_WPSOffice_Level1"/>
      <w:bookmarkStart w:id="8" w:name="_Toc22287"/>
    </w:p>
    <w:tbl>
      <w:tblPr>
        <w:tblStyle w:val="23"/>
        <w:tblpPr w:leftFromText="180" w:rightFromText="180" w:vertAnchor="text" w:horzAnchor="page" w:tblpXSpec="center" w:tblpY="28"/>
        <w:tblOverlap w:val="never"/>
        <w:tblW w:w="9415" w:type="dxa"/>
        <w:jc w:val="center"/>
        <w:tblLayout w:type="fixed"/>
        <w:tblCellMar>
          <w:top w:w="0" w:type="dxa"/>
          <w:left w:w="0" w:type="dxa"/>
          <w:bottom w:w="0" w:type="dxa"/>
          <w:right w:w="0" w:type="dxa"/>
        </w:tblCellMar>
      </w:tblPr>
      <w:tblGrid>
        <w:gridCol w:w="859"/>
        <w:gridCol w:w="2324"/>
        <w:gridCol w:w="1027"/>
        <w:gridCol w:w="4005"/>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里程段落</w:t>
            </w:r>
          </w:p>
        </w:tc>
        <w:tc>
          <w:tcPr>
            <w:tcW w:w="10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特征</w:t>
            </w:r>
          </w:p>
        </w:tc>
        <w:tc>
          <w:tcPr>
            <w:tcW w:w="400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lang w:bidi="ar"/>
              </w:rPr>
            </w:pPr>
            <w:r>
              <w:rPr>
                <w:rFonts w:hint="eastAsia" w:ascii="宋体" w:hAnsi="宋体" w:cs="宋体"/>
                <w:kern w:val="0"/>
                <w:sz w:val="18"/>
                <w:szCs w:val="18"/>
                <w:lang w:bidi="ar"/>
              </w:rPr>
              <w:t>工期（月）</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23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10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400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12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rPr>
              <w:t>1</w:t>
            </w:r>
          </w:p>
        </w:tc>
        <w:tc>
          <w:tcPr>
            <w:tcW w:w="2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雅西高速公路铁寨子1#桥下边坡</w:t>
            </w:r>
          </w:p>
        </w:tc>
        <w:tc>
          <w:tcPr>
            <w:tcW w:w="10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边坡</w:t>
            </w:r>
          </w:p>
        </w:tc>
        <w:tc>
          <w:tcPr>
            <w:tcW w:w="4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left"/>
              <w:textAlignment w:val="center"/>
              <w:rPr>
                <w:rFonts w:ascii="宋体" w:hAnsi="宋体" w:cs="宋体"/>
                <w:kern w:val="0"/>
                <w:sz w:val="18"/>
                <w:szCs w:val="18"/>
                <w:lang w:bidi="ar"/>
              </w:rPr>
            </w:pPr>
            <w:r>
              <w:rPr>
                <w:rFonts w:hint="eastAsia" w:ascii="宋体" w:hAnsi="宋体" w:cs="宋体"/>
                <w:kern w:val="0"/>
                <w:sz w:val="18"/>
                <w:szCs w:val="18"/>
                <w:lang w:bidi="ar"/>
              </w:rPr>
              <w:t>新增挡土墙、垫墩压力注浆锚杆，普通短锚杆、坡面挂网喷砼防护、弃土场新增挡土墙及截排水沟。</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r>
    </w:tbl>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jc w:val="left"/>
        <w:rPr>
          <w:rFonts w:ascii="宋体" w:hAnsi="宋体" w:eastAsia="宋体" w:cs="宋体"/>
          <w:b/>
          <w:sz w:val="28"/>
          <w:szCs w:val="28"/>
        </w:rPr>
      </w:pPr>
    </w:p>
    <w:p>
      <w:pPr>
        <w:pStyle w:val="28"/>
        <w:ind w:firstLine="0"/>
        <w:jc w:val="left"/>
        <w:rPr>
          <w:rFonts w:ascii="宋体" w:hAnsi="宋体" w:eastAsia="宋体" w:cs="宋体"/>
          <w:b/>
          <w:sz w:val="28"/>
          <w:szCs w:val="28"/>
        </w:rPr>
      </w:pPr>
      <w:r>
        <w:rPr>
          <w:rFonts w:hint="eastAsia" w:ascii="宋体" w:hAnsi="宋体" w:eastAsia="宋体" w:cs="宋体"/>
          <w:b/>
          <w:sz w:val="28"/>
          <w:szCs w:val="28"/>
        </w:rPr>
        <w:t>附表二</w:t>
      </w:r>
    </w:p>
    <w:p>
      <w:pPr>
        <w:pStyle w:val="28"/>
        <w:ind w:firstLine="0"/>
        <w:jc w:val="center"/>
        <w:rPr>
          <w:rFonts w:cs="仿宋"/>
          <w:b/>
          <w:bCs/>
          <w:sz w:val="32"/>
          <w:szCs w:val="32"/>
        </w:rPr>
      </w:pPr>
    </w:p>
    <w:p>
      <w:pPr>
        <w:pStyle w:val="28"/>
        <w:ind w:firstLine="0"/>
        <w:jc w:val="center"/>
        <w:rPr>
          <w:rFonts w:ascii="宋体" w:hAnsi="宋体" w:cs="宋体"/>
          <w:b/>
          <w:bCs/>
          <w:sz w:val="32"/>
          <w:szCs w:val="32"/>
        </w:rPr>
      </w:pPr>
      <w:r>
        <w:rPr>
          <w:rFonts w:hint="eastAsia" w:ascii="宋体" w:hAnsi="宋体" w:cs="宋体"/>
          <w:b/>
          <w:bCs/>
          <w:sz w:val="32"/>
          <w:szCs w:val="32"/>
        </w:rPr>
        <w:t>雅西高速公路铁寨子1#桥下边坡地质灾害处治工程施工分包</w:t>
      </w:r>
    </w:p>
    <w:p>
      <w:pPr>
        <w:pStyle w:val="28"/>
        <w:ind w:firstLine="0"/>
        <w:jc w:val="center"/>
        <w:rPr>
          <w:rFonts w:ascii="宋体" w:hAnsi="宋体" w:eastAsia="宋体" w:cs="宋体"/>
          <w:b/>
          <w:sz w:val="28"/>
          <w:szCs w:val="28"/>
        </w:rPr>
      </w:pPr>
      <w:r>
        <w:rPr>
          <w:rFonts w:hint="eastAsia" w:cs="仿宋"/>
          <w:b/>
          <w:bCs/>
          <w:sz w:val="32"/>
          <w:szCs w:val="32"/>
        </w:rPr>
        <w:t>施工企业资质等级要求、业绩基本要求</w:t>
      </w:r>
    </w:p>
    <w:tbl>
      <w:tblPr>
        <w:tblStyle w:val="23"/>
        <w:tblW w:w="9919" w:type="dxa"/>
        <w:tblInd w:w="0" w:type="dxa"/>
        <w:tblLayout w:type="fixed"/>
        <w:tblCellMar>
          <w:top w:w="0" w:type="dxa"/>
          <w:left w:w="0" w:type="dxa"/>
          <w:bottom w:w="0" w:type="dxa"/>
          <w:right w:w="0" w:type="dxa"/>
        </w:tblCellMar>
      </w:tblPr>
      <w:tblGrid>
        <w:gridCol w:w="528"/>
        <w:gridCol w:w="615"/>
        <w:gridCol w:w="3690"/>
        <w:gridCol w:w="3690"/>
        <w:gridCol w:w="1396"/>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4"/>
              <w:kinsoku w:val="0"/>
              <w:overflowPunct w:val="0"/>
              <w:spacing w:line="239" w:lineRule="exact"/>
              <w:ind w:left="426" w:right="344"/>
              <w:jc w:val="center"/>
              <w:rPr>
                <w:sz w:val="18"/>
                <w:szCs w:val="18"/>
              </w:rPr>
            </w:pPr>
            <w:r>
              <w:rPr>
                <w:rFonts w:hint="eastAsia"/>
                <w:sz w:val="18"/>
                <w:szCs w:val="18"/>
              </w:rPr>
              <w:t>施工企业资质等级要求</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4"/>
              <w:widowControl/>
              <w:kinsoku w:val="0"/>
              <w:overflowPunct w:val="0"/>
              <w:spacing w:line="239" w:lineRule="exact"/>
              <w:ind w:left="426" w:right="344"/>
              <w:jc w:val="center"/>
              <w:textAlignment w:val="center"/>
              <w:rPr>
                <w:sz w:val="18"/>
                <w:szCs w:val="18"/>
              </w:rPr>
            </w:pPr>
            <w:r>
              <w:rPr>
                <w:rFonts w:hint="eastAsia"/>
                <w:sz w:val="18"/>
                <w:szCs w:val="18"/>
              </w:rPr>
              <w:t>业绩基本要求</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边坡</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rPr>
            </w:pPr>
            <w:r>
              <w:rPr>
                <w:rFonts w:hint="eastAsia" w:ascii="宋体" w:hAnsi="宋体" w:cs="宋体"/>
                <w:sz w:val="18"/>
                <w:szCs w:val="18"/>
              </w:rPr>
              <w:t>公路工程施工总承包三级及以上资质</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3年内</w:t>
            </w:r>
            <w:r>
              <w:rPr>
                <w:rFonts w:hint="eastAsia" w:ascii="宋体" w:hAnsi="宋体" w:cs="宋体"/>
                <w:kern w:val="0"/>
                <w:sz w:val="18"/>
                <w:szCs w:val="18"/>
                <w:lang w:bidi="ar"/>
              </w:rPr>
              <w:t>（2018年1月1日起算）具有</w:t>
            </w:r>
            <w:r>
              <w:rPr>
                <w:rFonts w:ascii="宋体" w:hAnsi="宋体" w:cs="宋体"/>
                <w:kern w:val="0"/>
                <w:sz w:val="18"/>
                <w:szCs w:val="18"/>
                <w:lang w:bidi="ar"/>
              </w:rPr>
              <w:t>1</w:t>
            </w:r>
            <w:r>
              <w:rPr>
                <w:rFonts w:hint="eastAsia" w:ascii="宋体" w:hAnsi="宋体" w:cs="宋体"/>
                <w:kern w:val="0"/>
                <w:sz w:val="18"/>
                <w:szCs w:val="18"/>
                <w:lang w:bidi="ar"/>
              </w:rPr>
              <w:t>个合同金额300万元以上的高速公路边坡养护工程施工业绩。</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ind w:firstLine="0"/>
              <w:jc w:val="center"/>
              <w:rPr>
                <w:rFonts w:ascii="宋体" w:hAnsi="宋体" w:eastAsia="宋体" w:cs="宋体"/>
                <w:sz w:val="18"/>
                <w:szCs w:val="18"/>
              </w:rPr>
            </w:pPr>
          </w:p>
        </w:tc>
      </w:tr>
    </w:tbl>
    <w:p>
      <w:pPr>
        <w:pStyle w:val="28"/>
        <w:ind w:firstLine="0"/>
        <w:jc w:val="left"/>
        <w:rPr>
          <w:rFonts w:ascii="Times New Roman" w:hAnsi="Times New Roman" w:eastAsia="宋体"/>
          <w:b/>
          <w:bCs/>
          <w:kern w:val="2"/>
          <w:szCs w:val="20"/>
        </w:rPr>
      </w:pPr>
    </w:p>
    <w:p>
      <w:pPr>
        <w:pStyle w:val="28"/>
        <w:ind w:firstLine="0"/>
        <w:jc w:val="left"/>
        <w:rPr>
          <w:rFonts w:ascii="Times New Roman" w:hAnsi="Times New Roman" w:eastAsia="宋体"/>
          <w:b/>
          <w:bCs/>
          <w:kern w:val="2"/>
          <w:szCs w:val="20"/>
        </w:rPr>
        <w:sectPr>
          <w:pgSz w:w="11911" w:h="16838"/>
          <w:pgMar w:top="1599" w:right="1179" w:bottom="1298" w:left="1100" w:header="0" w:footer="567" w:gutter="0"/>
          <w:cols w:space="720" w:num="1"/>
          <w:docGrid w:linePitch="1" w:charSpace="0"/>
        </w:sectPr>
      </w:pPr>
      <w:r>
        <w:rPr>
          <w:rFonts w:hint="eastAsia" w:ascii="Times New Roman" w:hAnsi="Times New Roman" w:eastAsia="宋体"/>
          <w:b/>
          <w:bCs/>
          <w:kern w:val="2"/>
          <w:szCs w:val="20"/>
        </w:rPr>
        <w:t>注：若业绩为单价合同，需提供交工验收证书或最终结算资料作为合同金额的判定资料。</w:t>
      </w:r>
    </w:p>
    <w:p>
      <w:pPr>
        <w:pStyle w:val="28"/>
        <w:ind w:firstLine="0"/>
        <w:jc w:val="left"/>
        <w:rPr>
          <w:rFonts w:ascii="宋体" w:hAnsi="宋体" w:eastAsia="宋体" w:cs="宋体"/>
          <w:b/>
          <w:sz w:val="28"/>
          <w:szCs w:val="28"/>
        </w:rPr>
      </w:pPr>
      <w:r>
        <w:rPr>
          <w:rFonts w:hint="eastAsia" w:ascii="宋体" w:hAnsi="宋体" w:eastAsia="宋体" w:cs="宋体"/>
          <w:b/>
          <w:sz w:val="28"/>
          <w:szCs w:val="28"/>
        </w:rPr>
        <w:t>附表三</w:t>
      </w:r>
    </w:p>
    <w:tbl>
      <w:tblPr>
        <w:tblStyle w:val="23"/>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雅西高速公路铁寨子1#桥下边坡地质灾害处治工程施工分包标段</w:t>
            </w:r>
          </w:p>
          <w:p>
            <w:pPr>
              <w:widowControl/>
              <w:jc w:val="center"/>
              <w:textAlignment w:val="center"/>
              <w:rPr>
                <w:rFonts w:ascii="仿宋" w:hAnsi="仿宋" w:eastAsia="仿宋" w:cs="仿宋"/>
                <w:b/>
                <w:kern w:val="0"/>
                <w:sz w:val="28"/>
                <w:szCs w:val="28"/>
                <w:lang w:bidi="ar"/>
              </w:rPr>
            </w:pPr>
            <w:r>
              <w:rPr>
                <w:rFonts w:hint="eastAsia" w:ascii="仿宋" w:hAnsi="仿宋" w:eastAsia="仿宋" w:cs="仿宋"/>
                <w:b/>
                <w:bCs/>
                <w:sz w:val="28"/>
                <w:szCs w:val="28"/>
              </w:rPr>
              <w:t>拟</w:t>
            </w:r>
            <w:r>
              <w:rPr>
                <w:rFonts w:hint="eastAsia" w:ascii="仿宋" w:hAnsi="仿宋" w:eastAsia="仿宋" w:cs="仿宋"/>
                <w:b/>
                <w:kern w:val="0"/>
                <w:sz w:val="28"/>
                <w:szCs w:val="28"/>
                <w:lang w:bidi="ar"/>
              </w:rPr>
              <w:t>投入人员配置表(最低要求）</w:t>
            </w:r>
          </w:p>
          <w:p>
            <w:pPr>
              <w:widowControl/>
              <w:wordWrap w:val="0"/>
              <w:jc w:val="center"/>
              <w:textAlignment w:val="center"/>
              <w:rPr>
                <w:rFonts w:ascii="宋体" w:hAnsi="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具有高速公路边坡工程施工经验，并附有关证明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具有高速公路边坡工程施工经验，并附有关证明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项目安全负责人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具有安全C证，并附相关证明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jc w:val="left"/>
        <w:rPr>
          <w:rFonts w:ascii="宋体" w:hAnsi="宋体" w:cs="宋体"/>
          <w:b/>
          <w:sz w:val="28"/>
          <w:szCs w:val="28"/>
        </w:rPr>
      </w:pPr>
      <w:r>
        <w:rPr>
          <w:rFonts w:hint="eastAsia" w:ascii="宋体" w:hAnsi="宋体" w:cs="宋体"/>
          <w:b/>
          <w:sz w:val="28"/>
          <w:szCs w:val="28"/>
        </w:rPr>
        <w:br w:type="page"/>
      </w:r>
    </w:p>
    <w:p>
      <w:pPr>
        <w:pStyle w:val="28"/>
        <w:ind w:firstLine="0"/>
        <w:jc w:val="left"/>
        <w:rPr>
          <w:rFonts w:ascii="宋体" w:hAnsi="宋体" w:eastAsia="宋体" w:cs="宋体"/>
          <w:b/>
          <w:sz w:val="28"/>
          <w:szCs w:val="28"/>
        </w:rPr>
      </w:pPr>
      <w:r>
        <w:rPr>
          <w:rFonts w:hint="eastAsia" w:ascii="宋体" w:hAnsi="宋体" w:eastAsia="宋体" w:cs="宋体"/>
          <w:b/>
          <w:sz w:val="28"/>
          <w:szCs w:val="28"/>
        </w:rPr>
        <w:t>附表四</w:t>
      </w:r>
    </w:p>
    <w:p>
      <w:pPr>
        <w:pStyle w:val="28"/>
        <w:ind w:firstLine="0"/>
        <w:jc w:val="left"/>
        <w:rPr>
          <w:rFonts w:ascii="宋体" w:hAnsi="宋体" w:eastAsia="宋体" w:cs="宋体"/>
          <w:b/>
          <w:sz w:val="28"/>
          <w:szCs w:val="28"/>
        </w:rPr>
      </w:pPr>
    </w:p>
    <w:tbl>
      <w:tblPr>
        <w:tblStyle w:val="23"/>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雅西高速公路铁寨子1#桥下边坡地质灾害处治工程施工分包</w:t>
            </w:r>
          </w:p>
          <w:p>
            <w:pPr>
              <w:widowControl/>
              <w:jc w:val="center"/>
              <w:textAlignment w:val="center"/>
              <w:rPr>
                <w:rFonts w:ascii="仿宋" w:hAnsi="仿宋" w:eastAsia="仿宋" w:cs="仿宋"/>
                <w:b/>
                <w:bCs/>
                <w:sz w:val="28"/>
                <w:szCs w:val="28"/>
                <w:lang w:bidi="ar"/>
              </w:rPr>
            </w:pPr>
            <w:r>
              <w:rPr>
                <w:rFonts w:hint="eastAsia" w:ascii="仿宋" w:hAnsi="仿宋" w:eastAsia="仿宋" w:cs="仿宋"/>
                <w:b/>
                <w:bCs/>
                <w:sz w:val="28"/>
                <w:szCs w:val="28"/>
              </w:rPr>
              <w:t>拟</w:t>
            </w:r>
            <w:r>
              <w:rPr>
                <w:rFonts w:hint="eastAsia" w:ascii="仿宋" w:hAnsi="仿宋" w:eastAsia="仿宋" w:cs="仿宋"/>
                <w:b/>
                <w:kern w:val="0"/>
                <w:sz w:val="28"/>
                <w:szCs w:val="28"/>
                <w:lang w:bidi="ar"/>
              </w:rPr>
              <w:t>投入设备明细表(最低要求）</w:t>
            </w:r>
          </w:p>
          <w:p>
            <w:pPr>
              <w:widowControl/>
              <w:jc w:val="center"/>
              <w:textAlignment w:val="center"/>
              <w:rPr>
                <w:rFonts w:ascii="宋体" w:hAnsi="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23"/>
              <w:tblpPr w:leftFromText="180" w:rightFromText="180" w:vertAnchor="text" w:horzAnchor="page" w:tblpXSpec="center" w:tblpY="-2073"/>
              <w:tblOverlap w:val="never"/>
              <w:tblW w:w="9042" w:type="dxa"/>
              <w:tblInd w:w="0" w:type="dxa"/>
              <w:tblLayout w:type="fixed"/>
              <w:tblCellMar>
                <w:top w:w="0" w:type="dxa"/>
                <w:left w:w="108" w:type="dxa"/>
                <w:bottom w:w="0" w:type="dxa"/>
                <w:right w:w="108" w:type="dxa"/>
              </w:tblCellMar>
            </w:tblPr>
            <w:tblGrid>
              <w:gridCol w:w="691"/>
              <w:gridCol w:w="1485"/>
              <w:gridCol w:w="1275"/>
              <w:gridCol w:w="660"/>
              <w:gridCol w:w="1145"/>
              <w:gridCol w:w="1380"/>
              <w:gridCol w:w="1176"/>
              <w:gridCol w:w="1230"/>
            </w:tblGrid>
            <w:tr>
              <w:tblPrEx>
                <w:tblCellMar>
                  <w:top w:w="0" w:type="dxa"/>
                  <w:left w:w="108" w:type="dxa"/>
                  <w:bottom w:w="0" w:type="dxa"/>
                  <w:right w:w="108" w:type="dxa"/>
                </w:tblCellMar>
              </w:tblPrEx>
              <w:trPr>
                <w:trHeight w:val="487" w:hRule="atLeast"/>
              </w:trPr>
              <w:tc>
                <w:tcPr>
                  <w:tcW w:w="691"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序号</w:t>
                  </w:r>
                </w:p>
              </w:tc>
              <w:tc>
                <w:tcPr>
                  <w:tcW w:w="1485"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机械设备名称</w:t>
                  </w:r>
                </w:p>
              </w:tc>
              <w:tc>
                <w:tcPr>
                  <w:tcW w:w="1275" w:type="dxa"/>
                  <w:vMerge w:val="restart"/>
                  <w:tcBorders>
                    <w:top w:val="single" w:color="000000" w:sz="4" w:space="0"/>
                    <w:left w:val="single" w:color="000000" w:sz="4" w:space="0"/>
                    <w:right w:val="single" w:color="000000" w:sz="4" w:space="0"/>
                    <w:tl2br w:val="nil"/>
                    <w:tr2bl w:val="nil"/>
                  </w:tcBorders>
                  <w:vAlign w:val="center"/>
                </w:tcPr>
                <w:p>
                  <w:pPr>
                    <w:widowControl/>
                    <w:jc w:val="left"/>
                  </w:pPr>
                  <w:r>
                    <w:rPr>
                      <w:rFonts w:hint="eastAsia"/>
                    </w:rPr>
                    <w:t>规格、型号</w:t>
                  </w:r>
                </w:p>
              </w:tc>
              <w:tc>
                <w:tcPr>
                  <w:tcW w:w="660"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单位</w:t>
                  </w:r>
                </w:p>
              </w:tc>
              <w:tc>
                <w:tcPr>
                  <w:tcW w:w="25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pPr>
                  <w:r>
                    <w:rPr>
                      <w:rFonts w:hint="eastAsia"/>
                    </w:rPr>
                    <w:t>基本要求数量</w:t>
                  </w:r>
                </w:p>
              </w:tc>
              <w:tc>
                <w:tcPr>
                  <w:tcW w:w="1176"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出厂日期</w:t>
                  </w:r>
                </w:p>
              </w:tc>
              <w:tc>
                <w:tcPr>
                  <w:tcW w:w="1230"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备注</w:t>
                  </w:r>
                </w:p>
              </w:tc>
            </w:tr>
            <w:tr>
              <w:tblPrEx>
                <w:tblCellMar>
                  <w:top w:w="0" w:type="dxa"/>
                  <w:left w:w="108" w:type="dxa"/>
                  <w:bottom w:w="0" w:type="dxa"/>
                  <w:right w:w="108" w:type="dxa"/>
                </w:tblCellMar>
              </w:tblPrEx>
              <w:trPr>
                <w:trHeight w:val="487" w:hRule="atLeast"/>
              </w:trPr>
              <w:tc>
                <w:tcPr>
                  <w:tcW w:w="691" w:type="dxa"/>
                  <w:vMerge w:val="continue"/>
                  <w:tcBorders>
                    <w:left w:val="single" w:color="000000" w:sz="4" w:space="0"/>
                    <w:right w:val="single" w:color="000000" w:sz="4" w:space="0"/>
                    <w:tl2br w:val="nil"/>
                    <w:tr2bl w:val="nil"/>
                  </w:tcBorders>
                  <w:vAlign w:val="center"/>
                </w:tcPr>
                <w:p>
                  <w:pPr>
                    <w:widowControl/>
                    <w:jc w:val="center"/>
                  </w:pPr>
                </w:p>
              </w:tc>
              <w:tc>
                <w:tcPr>
                  <w:tcW w:w="1485" w:type="dxa"/>
                  <w:vMerge w:val="continue"/>
                  <w:tcBorders>
                    <w:left w:val="single" w:color="000000" w:sz="4" w:space="0"/>
                    <w:right w:val="single" w:color="000000" w:sz="4" w:space="0"/>
                    <w:tl2br w:val="nil"/>
                    <w:tr2bl w:val="nil"/>
                  </w:tcBorders>
                  <w:vAlign w:val="center"/>
                </w:tcPr>
                <w:p>
                  <w:pPr>
                    <w:widowControl/>
                    <w:jc w:val="center"/>
                  </w:pPr>
                </w:p>
              </w:tc>
              <w:tc>
                <w:tcPr>
                  <w:tcW w:w="1275" w:type="dxa"/>
                  <w:vMerge w:val="continue"/>
                  <w:tcBorders>
                    <w:left w:val="single" w:color="000000" w:sz="4" w:space="0"/>
                    <w:right w:val="single" w:color="000000" w:sz="4" w:space="0"/>
                    <w:tl2br w:val="nil"/>
                    <w:tr2bl w:val="nil"/>
                  </w:tcBorders>
                  <w:vAlign w:val="center"/>
                </w:tcPr>
                <w:p>
                  <w:pPr>
                    <w:widowControl/>
                    <w:jc w:val="center"/>
                  </w:pPr>
                </w:p>
              </w:tc>
              <w:tc>
                <w:tcPr>
                  <w:tcW w:w="660" w:type="dxa"/>
                  <w:vMerge w:val="continue"/>
                  <w:tcBorders>
                    <w:left w:val="single" w:color="000000" w:sz="4" w:space="0"/>
                    <w:right w:val="single" w:color="000000" w:sz="4" w:space="0"/>
                    <w:tl2br w:val="nil"/>
                    <w:tr2bl w:val="nil"/>
                  </w:tcBorders>
                  <w:vAlign w:val="center"/>
                </w:tcPr>
                <w:p>
                  <w:pPr>
                    <w:widowControl/>
                    <w:jc w:val="center"/>
                  </w:pPr>
                </w:p>
              </w:tc>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总数量</w:t>
                  </w:r>
                </w:p>
              </w:tc>
              <w:tc>
                <w:tcPr>
                  <w:tcW w:w="1380" w:type="dxa"/>
                  <w:tcBorders>
                    <w:left w:val="single" w:color="000000" w:sz="4" w:space="0"/>
                    <w:bottom w:val="single" w:color="auto" w:sz="4" w:space="0"/>
                    <w:right w:val="single" w:color="000000" w:sz="4" w:space="0"/>
                    <w:tl2br w:val="nil"/>
                    <w:tr2bl w:val="nil"/>
                  </w:tcBorders>
                  <w:vAlign w:val="center"/>
                </w:tcPr>
                <w:p>
                  <w:pPr>
                    <w:widowControl/>
                    <w:jc w:val="center"/>
                  </w:pPr>
                  <w:r>
                    <w:rPr>
                      <w:rFonts w:hint="eastAsia"/>
                    </w:rPr>
                    <w:t>自有设备</w:t>
                  </w:r>
                </w:p>
              </w:tc>
              <w:tc>
                <w:tcPr>
                  <w:tcW w:w="1176"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1230"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r>
            <w:tr>
              <w:tblPrEx>
                <w:tblCellMar>
                  <w:top w:w="0" w:type="dxa"/>
                  <w:left w:w="108" w:type="dxa"/>
                  <w:bottom w:w="0" w:type="dxa"/>
                  <w:right w:w="108" w:type="dxa"/>
                </w:tblCellMar>
              </w:tblPrEx>
              <w:trPr>
                <w:trHeight w:val="572" w:hRule="atLeast"/>
              </w:trPr>
              <w:tc>
                <w:tcPr>
                  <w:tcW w:w="6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pPr>
                  <w:r>
                    <w:rPr>
                      <w:rFonts w:hint="eastAsia"/>
                    </w:rPr>
                    <w:t>1</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pPr>
                  <w:r>
                    <w:rPr>
                      <w:rFonts w:hint="eastAsia"/>
                      <w:lang w:val="en-US"/>
                    </w:rPr>
                    <w:t>发电机</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50kw</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pPr>
                  <w:r>
                    <w:rPr>
                      <w:rFonts w:hint="eastAsia"/>
                    </w:rPr>
                    <w:t>台</w:t>
                  </w:r>
                </w:p>
              </w:tc>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rPr>
                    <w:t>1</w:t>
                  </w:r>
                </w:p>
              </w:tc>
              <w:tc>
                <w:tcPr>
                  <w:tcW w:w="1380" w:type="dxa"/>
                  <w:tcBorders>
                    <w:top w:val="single" w:color="auto" w:sz="4" w:space="0"/>
                    <w:left w:val="single" w:color="auto" w:sz="4" w:space="0"/>
                    <w:bottom w:val="single" w:color="auto" w:sz="4" w:space="0"/>
                    <w:right w:val="single" w:color="000000" w:sz="4" w:space="0"/>
                  </w:tcBorders>
                  <w:vAlign w:val="center"/>
                </w:tcPr>
                <w:p>
                  <w:pPr>
                    <w:widowControl/>
                    <w:spacing w:line="260" w:lineRule="exact"/>
                    <w:ind w:right="5"/>
                    <w:jc w:val="center"/>
                    <w:textAlignment w:val="center"/>
                  </w:pPr>
                </w:p>
              </w:tc>
              <w:tc>
                <w:tcPr>
                  <w:tcW w:w="1176" w:type="dxa"/>
                  <w:vMerge w:val="restart"/>
                  <w:tcBorders>
                    <w:top w:val="single" w:color="auto" w:sz="4" w:space="0"/>
                    <w:left w:val="single" w:color="auto" w:sz="4" w:space="0"/>
                    <w:bottom w:val="single" w:color="auto" w:sz="4" w:space="0"/>
                    <w:right w:val="single" w:color="000000" w:sz="4" w:space="0"/>
                  </w:tcBorders>
                  <w:vAlign w:val="center"/>
                </w:tcPr>
                <w:p>
                  <w:pPr>
                    <w:widowControl/>
                    <w:spacing w:line="260" w:lineRule="exact"/>
                    <w:ind w:right="5"/>
                    <w:jc w:val="center"/>
                    <w:textAlignment w:val="center"/>
                  </w:pPr>
                  <w:r>
                    <w:rPr>
                      <w:rFonts w:hint="eastAsia"/>
                    </w:rPr>
                    <w:t>2015年1月后</w:t>
                  </w:r>
                </w:p>
              </w:tc>
              <w:tc>
                <w:tcPr>
                  <w:tcW w:w="1230" w:type="dxa"/>
                  <w:vMerge w:val="restart"/>
                  <w:tcBorders>
                    <w:top w:val="single" w:color="auto" w:sz="4" w:space="0"/>
                    <w:left w:val="single" w:color="000000" w:sz="4" w:space="0"/>
                    <w:bottom w:val="single" w:color="auto" w:sz="4" w:space="0"/>
                    <w:right w:val="single" w:color="auto" w:sz="4" w:space="0"/>
                  </w:tcBorders>
                  <w:vAlign w:val="center"/>
                </w:tcPr>
                <w:p>
                  <w:pPr>
                    <w:widowControl/>
                    <w:spacing w:line="260" w:lineRule="exact"/>
                    <w:ind w:right="5"/>
                    <w:jc w:val="center"/>
                    <w:textAlignment w:val="center"/>
                  </w:pPr>
                  <w:r>
                    <w:rPr>
                      <w:rFonts w:hint="eastAsia" w:ascii="宋体" w:hAnsi="宋体" w:cs="宋体"/>
                    </w:rPr>
                    <w:t>自有设备需提供购买发票或公证机关出具的公证书</w:t>
                  </w:r>
                </w:p>
              </w:tc>
            </w:tr>
            <w:tr>
              <w:tblPrEx>
                <w:tblCellMar>
                  <w:top w:w="0" w:type="dxa"/>
                  <w:left w:w="108" w:type="dxa"/>
                  <w:bottom w:w="0" w:type="dxa"/>
                  <w:right w:w="108" w:type="dxa"/>
                </w:tblCellMar>
              </w:tblPrEx>
              <w:trPr>
                <w:trHeight w:val="567" w:hRule="atLeast"/>
              </w:trPr>
              <w:tc>
                <w:tcPr>
                  <w:tcW w:w="6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pPr>
                  <w:r>
                    <w:rPr>
                      <w:rFonts w:hint="eastAsia"/>
                    </w:rPr>
                    <w:t>2</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pPr>
                  <w:r>
                    <w:rPr>
                      <w:rFonts w:hint="eastAsia"/>
                      <w:lang w:val="en-US"/>
                    </w:rPr>
                    <w:t>发电机</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100kw</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pPr>
                  <w:r>
                    <w:rPr>
                      <w:rFonts w:hint="eastAsia"/>
                    </w:rPr>
                    <w:t>台</w:t>
                  </w:r>
                </w:p>
              </w:tc>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rPr>
                    <w:t>1</w:t>
                  </w:r>
                </w:p>
              </w:tc>
              <w:tc>
                <w:tcPr>
                  <w:tcW w:w="1380" w:type="dxa"/>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17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23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pPr>
                  <w:r>
                    <w:rPr>
                      <w:rFonts w:hint="eastAsia"/>
                    </w:rPr>
                    <w:t>3</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空压机</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20m³</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rPr>
                    <w:t>台</w:t>
                  </w:r>
                </w:p>
              </w:tc>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rPr>
                    <w:t>1</w:t>
                  </w:r>
                </w:p>
              </w:tc>
              <w:tc>
                <w:tcPr>
                  <w:tcW w:w="1380" w:type="dxa"/>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17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23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32" w:hRule="atLeast"/>
              </w:trPr>
              <w:tc>
                <w:tcPr>
                  <w:tcW w:w="6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pPr>
                  <w:r>
                    <w:rPr>
                      <w:rFonts w:hint="eastAsia"/>
                    </w:rPr>
                    <w:t>4</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挖机</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320</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台</w:t>
                  </w:r>
                </w:p>
              </w:tc>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1</w:t>
                  </w:r>
                </w:p>
              </w:tc>
              <w:tc>
                <w:tcPr>
                  <w:tcW w:w="1380" w:type="dxa"/>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17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23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pPr>
                  <w:r>
                    <w:rPr>
                      <w:rFonts w:hint="eastAsia"/>
                    </w:rPr>
                    <w:t>5</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钻机</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ZC50</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台</w:t>
                  </w:r>
                </w:p>
              </w:tc>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lang w:val="en-US"/>
                    </w:rPr>
                  </w:pPr>
                  <w:r>
                    <w:rPr>
                      <w:rFonts w:hint="eastAsia"/>
                      <w:lang w:val="en-US"/>
                    </w:rPr>
                    <w:t>2</w:t>
                  </w:r>
                </w:p>
              </w:tc>
              <w:tc>
                <w:tcPr>
                  <w:tcW w:w="1380" w:type="dxa"/>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17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23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pPr>
                  <w:r>
                    <w:rPr>
                      <w:rFonts w:hint="eastAsia"/>
                    </w:rPr>
                    <w:t>6</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rFonts w:ascii="宋体" w:hAnsi="宋体" w:cs="宋体"/>
                      <w:szCs w:val="21"/>
                    </w:rPr>
                  </w:pPr>
                  <w:r>
                    <w:rPr>
                      <w:rFonts w:hint="eastAsia"/>
                      <w:szCs w:val="22"/>
                      <w:lang w:val="en-US"/>
                    </w:rPr>
                    <w:t>弯曲机</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rFonts w:ascii="宋体" w:hAnsi="宋体" w:cs="宋体"/>
                      <w:szCs w:val="21"/>
                    </w:rPr>
                  </w:pPr>
                  <w:r>
                    <w:rPr>
                      <w:rFonts w:hint="eastAsia"/>
                      <w:szCs w:val="22"/>
                      <w:lang w:val="en-US"/>
                    </w:rPr>
                    <w:t>GW40</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pPr>
                  <w:r>
                    <w:rPr>
                      <w:rFonts w:hint="eastAsia"/>
                      <w:szCs w:val="22"/>
                      <w:lang w:val="en-US"/>
                    </w:rPr>
                    <w:t>台</w:t>
                  </w:r>
                </w:p>
              </w:tc>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rFonts w:ascii="宋体" w:hAnsi="宋体" w:cs="宋体"/>
                      <w:szCs w:val="21"/>
                    </w:rPr>
                  </w:pPr>
                  <w:r>
                    <w:rPr>
                      <w:rFonts w:hint="eastAsia"/>
                      <w:lang w:val="en-US"/>
                    </w:rPr>
                    <w:t>2</w:t>
                  </w:r>
                </w:p>
              </w:tc>
              <w:tc>
                <w:tcPr>
                  <w:tcW w:w="1380" w:type="dxa"/>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17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23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widowControl/>
                    <w:jc w:val="left"/>
                  </w:pPr>
                </w:p>
              </w:tc>
            </w:tr>
            <w:tr>
              <w:tblPrEx>
                <w:tblCellMar>
                  <w:top w:w="0" w:type="dxa"/>
                  <w:left w:w="108" w:type="dxa"/>
                  <w:bottom w:w="0" w:type="dxa"/>
                  <w:right w:w="108" w:type="dxa"/>
                </w:tblCellMar>
              </w:tblPrEx>
              <w:trPr>
                <w:trHeight w:val="567" w:hRule="atLeast"/>
              </w:trPr>
              <w:tc>
                <w:tcPr>
                  <w:tcW w:w="69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pPr>
                  <w:r>
                    <w:rPr>
                      <w:rFonts w:hint="eastAsia"/>
                    </w:rPr>
                    <w:t>7</w:t>
                  </w:r>
                </w:p>
              </w:tc>
              <w:tc>
                <w:tcPr>
                  <w:tcW w:w="1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rFonts w:ascii="宋体" w:hAnsi="宋体" w:cs="宋体"/>
                      <w:szCs w:val="21"/>
                    </w:rPr>
                  </w:pPr>
                  <w:r>
                    <w:rPr>
                      <w:rFonts w:hint="eastAsia"/>
                      <w:szCs w:val="22"/>
                      <w:lang w:val="en-US"/>
                    </w:rPr>
                    <w:t>切断机</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rFonts w:ascii="宋体" w:hAnsi="宋体" w:cs="宋体"/>
                      <w:szCs w:val="21"/>
                    </w:rPr>
                  </w:pPr>
                  <w:r>
                    <w:rPr>
                      <w:rFonts w:hint="eastAsia"/>
                      <w:szCs w:val="22"/>
                      <w:lang w:val="en-US"/>
                    </w:rPr>
                    <w:t>GQ40</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pPr>
                  <w:r>
                    <w:rPr>
                      <w:rFonts w:hint="eastAsia"/>
                      <w:szCs w:val="22"/>
                      <w:lang w:val="en-US"/>
                    </w:rPr>
                    <w:t>台</w:t>
                  </w:r>
                </w:p>
              </w:tc>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6"/>
                    <w:spacing w:before="120" w:after="120"/>
                    <w:rPr>
                      <w:rFonts w:ascii="宋体" w:hAnsi="宋体" w:cs="宋体"/>
                      <w:szCs w:val="21"/>
                    </w:rPr>
                  </w:pPr>
                  <w:r>
                    <w:rPr>
                      <w:rFonts w:hint="eastAsia"/>
                      <w:lang w:val="en-US"/>
                    </w:rPr>
                    <w:t>2</w:t>
                  </w:r>
                </w:p>
              </w:tc>
              <w:tc>
                <w:tcPr>
                  <w:tcW w:w="1380" w:type="dxa"/>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17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widowControl/>
                    <w:jc w:val="left"/>
                  </w:pPr>
                </w:p>
              </w:tc>
              <w:tc>
                <w:tcPr>
                  <w:tcW w:w="123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widowControl/>
                    <w:jc w:val="left"/>
                  </w:pPr>
                </w:p>
              </w:tc>
            </w:tr>
          </w:tbl>
          <w:p>
            <w:pPr>
              <w:widowControl/>
              <w:jc w:val="left"/>
            </w:pPr>
          </w:p>
          <w:p>
            <w:pPr>
              <w:widowControl/>
              <w:jc w:val="left"/>
            </w:pPr>
            <w:r>
              <w:rPr>
                <w:rFonts w:hint="eastAsia"/>
              </w:rPr>
              <w:t>注：1、若监理工程师或招标人认为投标人配备的机械设备不能满足现场施工的需要，或不能保证工程质量和进度时，招标人有权要求投标人增加。</w:t>
            </w:r>
          </w:p>
          <w:p>
            <w:pPr>
              <w:widowControl/>
              <w:numPr>
                <w:ilvl w:val="0"/>
                <w:numId w:val="1"/>
              </w:numPr>
              <w:jc w:val="left"/>
            </w:pPr>
            <w:r>
              <w:rPr>
                <w:rFonts w:hint="eastAsia"/>
              </w:rPr>
              <w:t>本表中的总数量为承包人中标后向发包人承诺的投入最低设备要求，并以书面形式纳入合同附件。</w:t>
            </w:r>
          </w:p>
          <w:p>
            <w:pPr>
              <w:pStyle w:val="28"/>
              <w:ind w:firstLine="0"/>
            </w:pPr>
            <w:bookmarkStart w:id="9" w:name="_GoBack"/>
            <w:bookmarkEnd w:id="9"/>
          </w:p>
        </w:tc>
      </w:tr>
      <w:bookmarkEnd w:id="5"/>
      <w:bookmarkEnd w:id="6"/>
      <w:bookmarkEnd w:id="7"/>
      <w:bookmarkEnd w:id="8"/>
    </w:tbl>
    <w:p>
      <w:pPr>
        <w:pStyle w:val="28"/>
        <w:ind w:firstLine="0"/>
        <w:jc w:val="left"/>
      </w:pPr>
    </w:p>
    <w:sectPr>
      <w:headerReference r:id="rId6" w:type="default"/>
      <w:footerReference r:id="rId7"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10" name="文本框 207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2"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i91E0AAAAAIBAAAPAAAAAAAAAAEAIAAAACIA&#10;AABkcnMvZG93bnJldi54bWxQSwECFAAUAAAACACHTuJAlMsLkRECAAATBAAADgAAAAAAAAABACAA&#10;AAAfAQAAZHJzL2Uyb0RvYy54bWxQSwUGAAAAAAYABgBZAQAAog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MTKRbrZAAAADAEAAA8AAAAAAAAAAQAgAAAAIgAA&#10;AGRycy9kb3ducmV2LnhtbFBLAQIUABQAAAAIAIdO4kBxUaPIsgIAABMGAAAOAAAAAAAAAAEAIAAA&#10;ACgBAABkcnMvZTJvRG9jLnhtbFBLBQYAAAAABgAGAFkBAABM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施工分包</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施工分包</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210"/>
  <w:drawingGridVerticalSpacing w:val="-7946"/>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C2"/>
    <w:rsid w:val="002F66C2"/>
    <w:rsid w:val="00332F4C"/>
    <w:rsid w:val="00874334"/>
    <w:rsid w:val="00DE3789"/>
    <w:rsid w:val="0EED3DDB"/>
    <w:rsid w:val="0FF17EFF"/>
    <w:rsid w:val="114446C8"/>
    <w:rsid w:val="1F17367A"/>
    <w:rsid w:val="1FFF7895"/>
    <w:rsid w:val="232B07C0"/>
    <w:rsid w:val="2783019E"/>
    <w:rsid w:val="27B91CCD"/>
    <w:rsid w:val="28D83586"/>
    <w:rsid w:val="2D571A3F"/>
    <w:rsid w:val="2E8428D7"/>
    <w:rsid w:val="2E971E7D"/>
    <w:rsid w:val="37B520E6"/>
    <w:rsid w:val="44F66CBA"/>
    <w:rsid w:val="47A641C2"/>
    <w:rsid w:val="521810C2"/>
    <w:rsid w:val="53CD7205"/>
    <w:rsid w:val="59D52753"/>
    <w:rsid w:val="5F2D5C45"/>
    <w:rsid w:val="5F2F5EAB"/>
    <w:rsid w:val="67C34AAB"/>
    <w:rsid w:val="696D4FB0"/>
    <w:rsid w:val="69792935"/>
    <w:rsid w:val="6C7C5F0F"/>
    <w:rsid w:val="6D680DCD"/>
    <w:rsid w:val="703F1A32"/>
    <w:rsid w:val="72D83B8A"/>
    <w:rsid w:val="73FC39E0"/>
    <w:rsid w:val="7BD909F0"/>
    <w:rsid w:val="7D73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4"/>
    <w:qFormat/>
    <w:uiPriority w:val="0"/>
    <w:pPr>
      <w:keepNext/>
      <w:keepLines/>
      <w:spacing w:before="260" w:after="260" w:line="413" w:lineRule="auto"/>
      <w:outlineLvl w:val="2"/>
    </w:pPr>
    <w:rPr>
      <w:b/>
      <w:bCs/>
      <w:sz w:val="32"/>
      <w:szCs w:val="32"/>
    </w:rPr>
  </w:style>
  <w:style w:type="paragraph" w:styleId="6">
    <w:name w:val="heading 4"/>
    <w:basedOn w:val="1"/>
    <w:next w:val="1"/>
    <w:link w:val="5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0"/>
    <w:pPr>
      <w:spacing w:after="120"/>
    </w:pPr>
    <w:rPr>
      <w:szCs w:val="24"/>
    </w:rPr>
  </w:style>
  <w:style w:type="paragraph" w:styleId="11">
    <w:name w:val="Normal Indent"/>
    <w:basedOn w:val="1"/>
    <w:qFormat/>
    <w:uiPriority w:val="99"/>
    <w:pPr>
      <w:ind w:firstLine="420"/>
    </w:pPr>
  </w:style>
  <w:style w:type="paragraph" w:styleId="12">
    <w:name w:val="annotation text"/>
    <w:basedOn w:val="1"/>
    <w:qFormat/>
    <w:uiPriority w:val="99"/>
    <w:pPr>
      <w:jc w:val="left"/>
    </w:pPr>
  </w:style>
  <w:style w:type="paragraph" w:styleId="13">
    <w:name w:val="Body Text Indent"/>
    <w:basedOn w:val="1"/>
    <w:link w:val="57"/>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67"/>
    <w:qFormat/>
    <w:uiPriority w:val="0"/>
    <w:rPr>
      <w:rFonts w:ascii="宋体" w:hAnsi="Courier New"/>
      <w:szCs w:val="21"/>
    </w:rPr>
  </w:style>
  <w:style w:type="paragraph" w:styleId="16">
    <w:name w:val="Balloon Text"/>
    <w:basedOn w:val="1"/>
    <w:link w:val="74"/>
    <w:unhideWhenUsed/>
    <w:qFormat/>
    <w:uiPriority w:val="99"/>
    <w:rPr>
      <w:sz w:val="18"/>
      <w:szCs w:val="18"/>
    </w:rPr>
  </w:style>
  <w:style w:type="paragraph" w:styleId="17">
    <w:name w:val="footer"/>
    <w:basedOn w:val="1"/>
    <w:link w:val="68"/>
    <w:unhideWhenUsed/>
    <w:qFormat/>
    <w:uiPriority w:val="99"/>
    <w:pPr>
      <w:tabs>
        <w:tab w:val="center" w:pos="4153"/>
        <w:tab w:val="right" w:pos="8306"/>
      </w:tabs>
      <w:snapToGrid w:val="0"/>
      <w:jc w:val="left"/>
    </w:pPr>
    <w:rPr>
      <w:sz w:val="18"/>
      <w:szCs w:val="18"/>
    </w:rPr>
  </w:style>
  <w:style w:type="paragraph" w:styleId="18">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Emphasis"/>
    <w:basedOn w:val="25"/>
    <w:qFormat/>
    <w:uiPriority w:val="20"/>
    <w:rPr>
      <w:i/>
    </w:rPr>
  </w:style>
  <w:style w:type="character" w:styleId="27">
    <w:name w:val="Hyperlink"/>
    <w:qFormat/>
    <w:uiPriority w:val="99"/>
    <w:rPr>
      <w:color w:val="0000FF"/>
      <w:u w:val="single"/>
    </w:rPr>
  </w:style>
  <w:style w:type="paragraph" w:customStyle="1" w:styleId="28">
    <w:name w:val="正文2"/>
    <w:basedOn w:val="1"/>
    <w:qFormat/>
    <w:uiPriority w:val="0"/>
    <w:pPr>
      <w:ind w:firstLine="570"/>
    </w:pPr>
    <w:rPr>
      <w:rFonts w:ascii="仿宋" w:hAnsi="仿宋" w:eastAsia="仿宋"/>
      <w:kern w:val="0"/>
      <w:sz w:val="20"/>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1">
    <w:name w:val="CM10"/>
    <w:basedOn w:val="30"/>
    <w:next w:val="30"/>
    <w:unhideWhenUsed/>
    <w:qFormat/>
    <w:uiPriority w:val="99"/>
    <w:pPr>
      <w:spacing w:line="408" w:lineRule="atLeast"/>
    </w:pPr>
    <w:rPr>
      <w:rFonts w:hint="default"/>
    </w:rPr>
  </w:style>
  <w:style w:type="paragraph" w:customStyle="1" w:styleId="32">
    <w:name w:val="CM3"/>
    <w:basedOn w:val="30"/>
    <w:next w:val="30"/>
    <w:unhideWhenUsed/>
    <w:qFormat/>
    <w:uiPriority w:val="99"/>
    <w:pPr>
      <w:spacing w:line="408" w:lineRule="atLeast"/>
    </w:pPr>
    <w:rPr>
      <w:rFonts w:hint="default"/>
    </w:rPr>
  </w:style>
  <w:style w:type="paragraph" w:customStyle="1" w:styleId="33">
    <w:name w:val="CM4"/>
    <w:basedOn w:val="30"/>
    <w:next w:val="30"/>
    <w:unhideWhenUsed/>
    <w:qFormat/>
    <w:uiPriority w:val="99"/>
    <w:pPr>
      <w:spacing w:line="411" w:lineRule="atLeast"/>
    </w:pPr>
    <w:rPr>
      <w:rFonts w:hint="default"/>
    </w:rPr>
  </w:style>
  <w:style w:type="paragraph" w:customStyle="1" w:styleId="34">
    <w:name w:val="Table Paragraph"/>
    <w:basedOn w:val="1"/>
    <w:qFormat/>
    <w:uiPriority w:val="1"/>
    <w:rPr>
      <w:rFonts w:ascii="宋体" w:hAnsi="宋体" w:cs="宋体"/>
      <w:lang w:val="zh-CN" w:bidi="zh-CN"/>
    </w:rPr>
  </w:style>
  <w:style w:type="paragraph" w:customStyle="1" w:styleId="35">
    <w:name w:val="列出段落1"/>
    <w:basedOn w:val="1"/>
    <w:link w:val="62"/>
    <w:qFormat/>
    <w:uiPriority w:val="0"/>
    <w:pPr>
      <w:ind w:firstLine="420" w:firstLineChars="200"/>
    </w:pPr>
    <w:rPr>
      <w:szCs w:val="20"/>
    </w:rPr>
  </w:style>
  <w:style w:type="paragraph" w:customStyle="1" w:styleId="36">
    <w:name w:val="Char Char Char Char"/>
    <w:basedOn w:val="1"/>
    <w:qFormat/>
    <w:uiPriority w:val="0"/>
    <w:pPr>
      <w:widowControl/>
      <w:spacing w:after="160" w:line="240" w:lineRule="exact"/>
      <w:jc w:val="left"/>
    </w:pPr>
    <w:rPr>
      <w:szCs w:val="24"/>
    </w:rPr>
  </w:style>
  <w:style w:type="paragraph" w:customStyle="1" w:styleId="37">
    <w:name w:val="CM16"/>
    <w:basedOn w:val="30"/>
    <w:next w:val="30"/>
    <w:unhideWhenUsed/>
    <w:qFormat/>
    <w:uiPriority w:val="99"/>
    <w:pPr>
      <w:spacing w:line="411" w:lineRule="atLeast"/>
    </w:pPr>
    <w:rPr>
      <w:rFonts w:hint="default"/>
    </w:rPr>
  </w:style>
  <w:style w:type="paragraph" w:customStyle="1" w:styleId="38">
    <w:name w:val="CM13"/>
    <w:basedOn w:val="30"/>
    <w:next w:val="30"/>
    <w:unhideWhenUsed/>
    <w:qFormat/>
    <w:uiPriority w:val="99"/>
    <w:pPr>
      <w:spacing w:line="408" w:lineRule="atLeast"/>
    </w:pPr>
    <w:rPr>
      <w:rFonts w:hint="default"/>
    </w:rPr>
  </w:style>
  <w:style w:type="paragraph" w:customStyle="1" w:styleId="39">
    <w:name w:val="CM27"/>
    <w:basedOn w:val="30"/>
    <w:next w:val="30"/>
    <w:unhideWhenUsed/>
    <w:qFormat/>
    <w:uiPriority w:val="99"/>
    <w:pPr>
      <w:spacing w:line="411" w:lineRule="atLeast"/>
    </w:pPr>
    <w:rPr>
      <w:rFonts w:hint="default"/>
    </w:rPr>
  </w:style>
  <w:style w:type="paragraph" w:customStyle="1" w:styleId="40">
    <w:name w:val="文中正文"/>
    <w:basedOn w:val="1"/>
    <w:qFormat/>
    <w:uiPriority w:val="99"/>
    <w:pPr>
      <w:ind w:firstLine="640" w:firstLineChars="200"/>
    </w:pPr>
    <w:rPr>
      <w:rFonts w:eastAsia="方正楷体简体"/>
      <w:bCs/>
      <w:spacing w:val="20"/>
      <w:sz w:val="28"/>
      <w:szCs w:val="24"/>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2">
    <w:name w:val="CM5"/>
    <w:basedOn w:val="30"/>
    <w:next w:val="30"/>
    <w:unhideWhenUsed/>
    <w:qFormat/>
    <w:uiPriority w:val="99"/>
    <w:pPr>
      <w:spacing w:line="411" w:lineRule="atLeast"/>
    </w:pPr>
    <w:rPr>
      <w:rFonts w:hint="default"/>
    </w:rPr>
  </w:style>
  <w:style w:type="paragraph" w:customStyle="1" w:styleId="43">
    <w:name w:val="列出段落111"/>
    <w:basedOn w:val="1"/>
    <w:qFormat/>
    <w:uiPriority w:val="0"/>
    <w:pPr>
      <w:ind w:firstLine="420" w:firstLineChars="200"/>
    </w:pPr>
  </w:style>
  <w:style w:type="paragraph" w:customStyle="1" w:styleId="44">
    <w:name w:val="CM7"/>
    <w:basedOn w:val="30"/>
    <w:next w:val="30"/>
    <w:unhideWhenUsed/>
    <w:qFormat/>
    <w:uiPriority w:val="99"/>
    <w:pPr>
      <w:spacing w:line="408" w:lineRule="atLeast"/>
    </w:pPr>
    <w:rPr>
      <w:rFonts w:hint="default"/>
    </w:rPr>
  </w:style>
  <w:style w:type="paragraph" w:customStyle="1" w:styleId="45">
    <w:name w:val="p0"/>
    <w:basedOn w:val="1"/>
    <w:qFormat/>
    <w:uiPriority w:val="99"/>
    <w:pPr>
      <w:widowControl/>
      <w:jc w:val="left"/>
    </w:pPr>
    <w:rPr>
      <w:rFonts w:cs="宋体"/>
      <w:kern w:val="0"/>
      <w:szCs w:val="21"/>
    </w:rPr>
  </w:style>
  <w:style w:type="paragraph" w:customStyle="1" w:styleId="46">
    <w:name w:val="CM9"/>
    <w:basedOn w:val="30"/>
    <w:next w:val="30"/>
    <w:unhideWhenUsed/>
    <w:qFormat/>
    <w:uiPriority w:val="99"/>
    <w:pPr>
      <w:spacing w:line="408" w:lineRule="atLeast"/>
    </w:pPr>
    <w:rPr>
      <w:rFonts w:hint="default"/>
    </w:rPr>
  </w:style>
  <w:style w:type="paragraph" w:customStyle="1" w:styleId="47">
    <w:name w:val="CM8"/>
    <w:basedOn w:val="30"/>
    <w:next w:val="30"/>
    <w:unhideWhenUsed/>
    <w:qFormat/>
    <w:uiPriority w:val="99"/>
    <w:pPr>
      <w:spacing w:line="408" w:lineRule="atLeast"/>
    </w:pPr>
    <w:rPr>
      <w:rFonts w:hint="default"/>
    </w:rPr>
  </w:style>
  <w:style w:type="paragraph" w:customStyle="1" w:styleId="48">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49">
    <w:name w:val="大标题"/>
    <w:basedOn w:val="1"/>
    <w:qFormat/>
    <w:uiPriority w:val="99"/>
    <w:pPr>
      <w:spacing w:beforeLines="100" w:afterLines="50"/>
      <w:jc w:val="center"/>
    </w:pPr>
    <w:rPr>
      <w:rFonts w:eastAsia="方正魏碑简体"/>
      <w:bCs/>
      <w:spacing w:val="20"/>
      <w:sz w:val="72"/>
      <w:szCs w:val="24"/>
    </w:rPr>
  </w:style>
  <w:style w:type="paragraph" w:customStyle="1" w:styleId="50">
    <w:name w:val="_Style 4"/>
    <w:basedOn w:val="1"/>
    <w:qFormat/>
    <w:uiPriority w:val="34"/>
    <w:pPr>
      <w:ind w:firstLine="420" w:firstLineChars="200"/>
    </w:pPr>
  </w:style>
  <w:style w:type="paragraph" w:customStyle="1" w:styleId="51">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2">
    <w:name w:val="正文首行缩进 21"/>
    <w:basedOn w:val="53"/>
    <w:qFormat/>
    <w:uiPriority w:val="0"/>
    <w:pPr>
      <w:ind w:firstLine="420" w:firstLineChars="200"/>
    </w:pPr>
  </w:style>
  <w:style w:type="paragraph" w:customStyle="1" w:styleId="53">
    <w:name w:val="正文文本缩进1"/>
    <w:basedOn w:val="1"/>
    <w:qFormat/>
    <w:uiPriority w:val="0"/>
    <w:pPr>
      <w:spacing w:after="120"/>
      <w:ind w:left="420" w:leftChars="200"/>
    </w:pPr>
    <w:rPr>
      <w:szCs w:val="24"/>
    </w:rPr>
  </w:style>
  <w:style w:type="paragraph" w:customStyle="1" w:styleId="54">
    <w:name w:val="纯文本1"/>
    <w:basedOn w:val="1"/>
    <w:qFormat/>
    <w:uiPriority w:val="0"/>
    <w:rPr>
      <w:rFonts w:ascii="宋体" w:hAnsi="Courier New" w:cs="Courier New"/>
      <w:szCs w:val="21"/>
    </w:rPr>
  </w:style>
  <w:style w:type="paragraph" w:customStyle="1" w:styleId="55">
    <w:name w:val="纯文本 Char Char"/>
    <w:basedOn w:val="1"/>
    <w:qFormat/>
    <w:uiPriority w:val="0"/>
    <w:rPr>
      <w:rFonts w:ascii="宋体" w:hAnsi="Courier New" w:cs="Courier New"/>
      <w:szCs w:val="21"/>
    </w:rPr>
  </w:style>
  <w:style w:type="character" w:customStyle="1" w:styleId="56">
    <w:name w:val="标题 6 字符"/>
    <w:link w:val="7"/>
    <w:qFormat/>
    <w:uiPriority w:val="1"/>
    <w:rPr>
      <w:rFonts w:ascii="宋体" w:hAnsi="宋体" w:eastAsia="宋体" w:cs="宋体"/>
      <w:b/>
      <w:bCs/>
      <w:sz w:val="36"/>
      <w:szCs w:val="36"/>
      <w:lang w:val="zh-CN" w:eastAsia="zh-CN" w:bidi="zh-CN"/>
    </w:rPr>
  </w:style>
  <w:style w:type="character" w:customStyle="1" w:styleId="57">
    <w:name w:val="正文文本缩进 字符"/>
    <w:link w:val="13"/>
    <w:qFormat/>
    <w:uiPriority w:val="0"/>
    <w:rPr>
      <w:kern w:val="2"/>
      <w:sz w:val="21"/>
      <w:szCs w:val="24"/>
    </w:rPr>
  </w:style>
  <w:style w:type="character" w:customStyle="1" w:styleId="58">
    <w:name w:val="标题 4 字符"/>
    <w:link w:val="6"/>
    <w:qFormat/>
    <w:uiPriority w:val="0"/>
    <w:rPr>
      <w:rFonts w:ascii="Arial" w:hAnsi="Arial" w:eastAsia="黑体"/>
      <w:b/>
      <w:sz w:val="28"/>
    </w:rPr>
  </w:style>
  <w:style w:type="character" w:customStyle="1" w:styleId="59">
    <w:name w:val="纯文本 Char"/>
    <w:qFormat/>
    <w:uiPriority w:val="0"/>
    <w:rPr>
      <w:rFonts w:ascii="宋体" w:hAnsi="Courier New" w:eastAsia="宋体" w:cs="Courier New"/>
      <w:kern w:val="2"/>
      <w:sz w:val="21"/>
      <w:szCs w:val="21"/>
    </w:rPr>
  </w:style>
  <w:style w:type="character" w:customStyle="1" w:styleId="60">
    <w:name w:val="font51"/>
    <w:basedOn w:val="25"/>
    <w:qFormat/>
    <w:uiPriority w:val="0"/>
    <w:rPr>
      <w:rFonts w:hint="eastAsia" w:ascii="宋体" w:hAnsi="宋体" w:eastAsia="宋体" w:cs="宋体"/>
      <w:color w:val="000000"/>
      <w:sz w:val="18"/>
      <w:szCs w:val="18"/>
      <w:u w:val="none"/>
    </w:rPr>
  </w:style>
  <w:style w:type="character" w:customStyle="1" w:styleId="61">
    <w:name w:val="font21"/>
    <w:basedOn w:val="25"/>
    <w:qFormat/>
    <w:uiPriority w:val="0"/>
    <w:rPr>
      <w:rFonts w:hint="eastAsia" w:ascii="黑体" w:hAnsi="宋体" w:eastAsia="黑体" w:cs="黑体"/>
      <w:b/>
      <w:color w:val="000000"/>
      <w:sz w:val="28"/>
      <w:szCs w:val="28"/>
      <w:u w:val="none"/>
    </w:rPr>
  </w:style>
  <w:style w:type="character" w:customStyle="1" w:styleId="62">
    <w:name w:val="列出段落 Char"/>
    <w:link w:val="35"/>
    <w:qFormat/>
    <w:locked/>
    <w:uiPriority w:val="0"/>
    <w:rPr>
      <w:rFonts w:ascii="Calibri" w:hAnsi="Calibri" w:eastAsia="宋体" w:cs="Times New Roman"/>
      <w:kern w:val="2"/>
      <w:sz w:val="21"/>
    </w:rPr>
  </w:style>
  <w:style w:type="character" w:customStyle="1" w:styleId="63">
    <w:name w:val="font01"/>
    <w:basedOn w:val="25"/>
    <w:qFormat/>
    <w:uiPriority w:val="0"/>
    <w:rPr>
      <w:rFonts w:ascii="Arial" w:hAnsi="Arial" w:cs="Arial"/>
      <w:b/>
      <w:color w:val="000000"/>
      <w:sz w:val="28"/>
      <w:szCs w:val="28"/>
      <w:u w:val="none"/>
    </w:rPr>
  </w:style>
  <w:style w:type="character" w:customStyle="1" w:styleId="64">
    <w:name w:val="标题 3 字符"/>
    <w:link w:val="5"/>
    <w:qFormat/>
    <w:uiPriority w:val="0"/>
    <w:rPr>
      <w:rFonts w:ascii="Calibri" w:hAnsi="Calibri" w:eastAsia="宋体" w:cs="Times New Roman"/>
      <w:b/>
      <w:bCs/>
      <w:kern w:val="2"/>
      <w:sz w:val="32"/>
      <w:szCs w:val="32"/>
    </w:rPr>
  </w:style>
  <w:style w:type="character" w:customStyle="1" w:styleId="65">
    <w:name w:val="页眉 字符"/>
    <w:link w:val="18"/>
    <w:qFormat/>
    <w:uiPriority w:val="99"/>
    <w:rPr>
      <w:rFonts w:eastAsia="宋体"/>
      <w:kern w:val="2"/>
      <w:sz w:val="18"/>
      <w:szCs w:val="18"/>
    </w:rPr>
  </w:style>
  <w:style w:type="character" w:customStyle="1" w:styleId="66">
    <w:name w:val="正文文本缩进 Char"/>
    <w:semiHidden/>
    <w:qFormat/>
    <w:uiPriority w:val="99"/>
    <w:rPr>
      <w:rFonts w:ascii="Calibri" w:hAnsi="Calibri" w:eastAsia="宋体" w:cs="Times New Roman"/>
      <w:kern w:val="2"/>
      <w:sz w:val="21"/>
    </w:rPr>
  </w:style>
  <w:style w:type="character" w:customStyle="1" w:styleId="67">
    <w:name w:val="纯文本 字符"/>
    <w:link w:val="15"/>
    <w:qFormat/>
    <w:uiPriority w:val="0"/>
    <w:rPr>
      <w:rFonts w:ascii="宋体" w:hAnsi="Courier New" w:eastAsia="宋体" w:cs="Courier New"/>
      <w:kern w:val="2"/>
      <w:sz w:val="21"/>
      <w:szCs w:val="21"/>
    </w:rPr>
  </w:style>
  <w:style w:type="character" w:customStyle="1" w:styleId="68">
    <w:name w:val="页脚 字符"/>
    <w:link w:val="17"/>
    <w:qFormat/>
    <w:uiPriority w:val="99"/>
    <w:rPr>
      <w:rFonts w:eastAsia="宋体"/>
      <w:kern w:val="2"/>
      <w:sz w:val="18"/>
      <w:szCs w:val="18"/>
    </w:rPr>
  </w:style>
  <w:style w:type="character" w:customStyle="1" w:styleId="69">
    <w:name w:val="font11"/>
    <w:basedOn w:val="25"/>
    <w:qFormat/>
    <w:uiPriority w:val="0"/>
    <w:rPr>
      <w:rFonts w:hint="eastAsia" w:ascii="宋体" w:hAnsi="宋体" w:eastAsia="宋体" w:cs="宋体"/>
      <w:color w:val="000000"/>
      <w:sz w:val="18"/>
      <w:szCs w:val="18"/>
      <w:u w:val="none"/>
    </w:rPr>
  </w:style>
  <w:style w:type="character" w:customStyle="1" w:styleId="70">
    <w:name w:val="font41"/>
    <w:basedOn w:val="25"/>
    <w:qFormat/>
    <w:uiPriority w:val="0"/>
    <w:rPr>
      <w:rFonts w:hint="default" w:ascii="Times New Roman" w:hAnsi="Times New Roman" w:cs="Times New Roman"/>
      <w:color w:val="000000"/>
      <w:sz w:val="18"/>
      <w:szCs w:val="18"/>
      <w:u w:val="none"/>
    </w:rPr>
  </w:style>
  <w:style w:type="character" w:customStyle="1" w:styleId="71">
    <w:name w:val="页脚 Char"/>
    <w:qFormat/>
    <w:uiPriority w:val="99"/>
    <w:rPr>
      <w:lang w:eastAsia="zh-CN"/>
    </w:rPr>
  </w:style>
  <w:style w:type="character" w:customStyle="1" w:styleId="72">
    <w:name w:val="正文文本 字符"/>
    <w:link w:val="2"/>
    <w:qFormat/>
    <w:uiPriority w:val="0"/>
    <w:rPr>
      <w:kern w:val="2"/>
      <w:sz w:val="21"/>
      <w:szCs w:val="24"/>
    </w:rPr>
  </w:style>
  <w:style w:type="character" w:customStyle="1" w:styleId="73">
    <w:name w:val="正文文本 Char1"/>
    <w:semiHidden/>
    <w:qFormat/>
    <w:uiPriority w:val="99"/>
    <w:rPr>
      <w:rFonts w:ascii="Calibri" w:hAnsi="Calibri" w:eastAsia="宋体" w:cs="Times New Roman"/>
      <w:kern w:val="2"/>
      <w:sz w:val="21"/>
    </w:rPr>
  </w:style>
  <w:style w:type="character" w:customStyle="1" w:styleId="74">
    <w:name w:val="批注框文本 字符"/>
    <w:link w:val="16"/>
    <w:semiHidden/>
    <w:qFormat/>
    <w:uiPriority w:val="99"/>
    <w:rPr>
      <w:rFonts w:eastAsia="宋体"/>
      <w:kern w:val="2"/>
      <w:sz w:val="18"/>
      <w:szCs w:val="18"/>
    </w:rPr>
  </w:style>
  <w:style w:type="paragraph" w:customStyle="1" w:styleId="75">
    <w:name w:val="列出段落11"/>
    <w:basedOn w:val="1"/>
    <w:qFormat/>
    <w:uiPriority w:val="0"/>
    <w:pPr>
      <w:ind w:firstLine="420" w:firstLineChars="200"/>
    </w:pPr>
  </w:style>
  <w:style w:type="paragraph" w:customStyle="1" w:styleId="76">
    <w:name w:val="图表文字"/>
    <w:next w:val="1"/>
    <w:qFormat/>
    <w:uiPriority w:val="0"/>
    <w:pPr>
      <w:widowControl w:val="0"/>
      <w:spacing w:before="50" w:beforeLines="50" w:after="50" w:afterLines="50"/>
      <w:jc w:val="center"/>
      <w:textAlignment w:val="center"/>
    </w:pPr>
    <w:rPr>
      <w:rFonts w:ascii="Arial" w:hAnsi="Arial"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2725</Words>
  <Characters>15534</Characters>
  <Lines>129</Lines>
  <Paragraphs>36</Paragraphs>
  <TotalTime>15</TotalTime>
  <ScaleCrop>false</ScaleCrop>
  <LinksUpToDate>false</LinksUpToDate>
  <CharactersWithSpaces>18223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2020-04-01T23:59:00Z</dcterms:created>
  <dc:creator>user</dc:creator>
  <cp:lastModifiedBy>從零開始</cp:lastModifiedBy>
  <cp:lastPrinted>2021-09-07T08:16:00Z</cp:lastPrinted>
  <dcterms:modified xsi:type="dcterms:W3CDTF">2021-09-09T01:48:40Z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23878488_btnclosed</vt:lpwstr>
  </property>
  <property fmtid="{D5CDD505-2E9C-101B-9397-08002B2CF9AE}" pid="4" name="ICV">
    <vt:lpwstr>A463F4925FFF4C869264F34D43E2B84F</vt:lpwstr>
  </property>
</Properties>
</file>