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ind w:left="0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bookmarkStart w:id="0" w:name="_Toc22287"/>
      <w:bookmarkStart w:id="1" w:name="_Toc20280_WPSOffice_Level1"/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附表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</w:t>
      </w:r>
    </w:p>
    <w:p>
      <w:pPr>
        <w:pStyle w:val="2"/>
        <w:keepNext w:val="0"/>
        <w:keepLines w:val="0"/>
        <w:pageBreakBefore w:val="0"/>
        <w:wordWrap/>
        <w:topLinePunct w:val="0"/>
        <w:autoSpaceDE/>
        <w:autoSpaceDN/>
        <w:bidi w:val="0"/>
        <w:adjustRightInd/>
        <w:snapToGrid/>
        <w:spacing w:line="300" w:lineRule="exact"/>
        <w:ind w:firstLine="0"/>
        <w:jc w:val="center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仿宋"/>
          <w:b/>
          <w:bCs/>
          <w:color w:val="auto"/>
          <w:sz w:val="24"/>
          <w:szCs w:val="24"/>
          <w:highlight w:val="none"/>
          <w:lang w:val="en-US" w:eastAsia="zh-CN"/>
        </w:rPr>
        <w:t>广元市青川县建峰灰岩矿开采及加工项目</w:t>
      </w:r>
      <w:r>
        <w:rPr>
          <w:rFonts w:hint="eastAsia" w:ascii="宋体" w:hAnsi="宋体" w:eastAsia="宋体" w:cs="仿宋"/>
          <w:b/>
          <w:bCs/>
          <w:color w:val="auto"/>
          <w:sz w:val="24"/>
          <w:szCs w:val="24"/>
          <w:highlight w:val="none"/>
        </w:rPr>
        <w:t>资质、业绩基本要求</w:t>
      </w:r>
    </w:p>
    <w:tbl>
      <w:tblPr>
        <w:tblStyle w:val="6"/>
        <w:tblW w:w="138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189"/>
        <w:gridCol w:w="3708"/>
        <w:gridCol w:w="5029"/>
        <w:gridCol w:w="2925"/>
      </w:tblGrid>
      <w:tr>
        <w:trPr>
          <w:trHeight w:val="741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包件号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6" w:right="344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投标人资质要求</w:t>
            </w:r>
          </w:p>
        </w:tc>
        <w:tc>
          <w:tcPr>
            <w:tcW w:w="5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6" w:right="344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业绩基本要求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包件一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、具有独立法人资格，提供有效的营业执照、安全生产许可证、基本账户开户许可证；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2、具有国家住房城乡建设部颁发的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矿山工程施工总承包壹级及以上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资质。</w:t>
            </w:r>
          </w:p>
        </w:tc>
        <w:tc>
          <w:tcPr>
            <w:tcW w:w="5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近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年内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2016年1月1日至今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独立承担的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业绩要求：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1、完成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或正在进行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年开采规模不低于50万吨的矿山开采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工程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2、完成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或正在进行的砂石加工业务1个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基本要求可由一个业绩同时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满足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或由两个业绩分别满足。</w:t>
            </w:r>
          </w:p>
        </w:tc>
      </w:tr>
      <w:tr>
        <w:trPr>
          <w:trHeight w:val="131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包件二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1、具有独立法人资格，提供有效的营业执照、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安全生产许可证、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基本账户开户许可证；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具有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行业主管部门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颁发的施工劳务资质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5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近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年内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2016年1月1日至今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完成或正在进行1个砂石加工业务。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jc w:val="center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ind w:firstLine="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ind w:firstLine="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2"/>
        <w:ind w:firstLine="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附表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广元市青川县建峰灰岩矿开采及加工项目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主要管理人员最低要求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包件一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</w:p>
    <w:tbl>
      <w:tblPr>
        <w:tblStyle w:val="6"/>
        <w:tblW w:w="146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791"/>
        <w:gridCol w:w="708"/>
        <w:gridCol w:w="10801"/>
        <w:gridCol w:w="7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Header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岗位名称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0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负责人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1名</w:t>
            </w:r>
          </w:p>
        </w:tc>
        <w:tc>
          <w:tcPr>
            <w:tcW w:w="10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①具备大专以上学历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具有工程师及以上技术职称（矿业工程相关专业）。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②具有一级注册建造师资格证书（注册类别“矿业工程专业”），并取得考核合格证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③安全生产考核合格证（B类）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矿山工程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项目中担任过项目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负责人或者技术负责人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技术负责人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1名</w:t>
            </w:r>
          </w:p>
        </w:tc>
        <w:tc>
          <w:tcPr>
            <w:tcW w:w="10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①具有高级工程师及以上技术职称（矿业工程相关专业）。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②安全生产考核合格证（B类）。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矿业工程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项目中担任过项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目负责人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技术负责人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安全负责人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1名</w:t>
            </w:r>
          </w:p>
        </w:tc>
        <w:tc>
          <w:tcPr>
            <w:tcW w:w="10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①取得矿山安全类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建筑施工安全类注册安全工程师执业资格。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安全生产考核合格证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C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类）。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专职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安全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auto"/>
                <w:szCs w:val="21"/>
                <w:highlight w:val="none"/>
                <w:shd w:val="clear" w:color="auto" w:fill="auto"/>
              </w:rPr>
              <w:t>名</w:t>
            </w:r>
          </w:p>
        </w:tc>
        <w:tc>
          <w:tcPr>
            <w:tcW w:w="10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安全生产考核合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格证（C类）。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exact"/>
        <w:ind w:left="420" w:hanging="420" w:hangingChars="200"/>
        <w:rPr>
          <w:rFonts w:ascii="宋体" w:hAnsi="宋体" w:eastAsia="宋体" w:cs="宋体"/>
          <w:color w:val="auto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注：1、本表为主要人员的最低要求，投标人应根据施工需要或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"/>
        </w:rPr>
        <w:t>国家相关规定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增加相关专业技术人员。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2、如因投标人的原因(除不可抗拒因素外)更换上述主要人员，须报请招标人批准，自行更换主要负责人的，对投标人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bidi="ar"/>
        </w:rPr>
        <w:t>按每人次课以50万元人民币违约金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。</w:t>
      </w:r>
    </w:p>
    <w:p>
      <w:pPr>
        <w:tabs>
          <w:tab w:val="left" w:pos="416"/>
        </w:tabs>
        <w:autoSpaceDE w:val="0"/>
        <w:autoSpaceDN w:val="0"/>
        <w:spacing w:before="122" w:line="360" w:lineRule="auto"/>
        <w:ind w:left="1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4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</w:p>
    <w:p>
      <w:pPr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</w:p>
    <w:p>
      <w:pPr>
        <w:pStyle w:val="4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广元市青川县建峰灰岩矿开采及加工项目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主要管理人员最低要求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包件二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</w:p>
    <w:tbl>
      <w:tblPr>
        <w:tblStyle w:val="6"/>
        <w:tblW w:w="146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926"/>
        <w:gridCol w:w="809"/>
        <w:gridCol w:w="9776"/>
        <w:gridCol w:w="1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Header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岗位名称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要求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1名</w:t>
            </w:r>
          </w:p>
        </w:tc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砂石加工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项目中担任过项目负责人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专职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安全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员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auto"/>
                <w:szCs w:val="21"/>
                <w:highlight w:val="none"/>
                <w:shd w:val="clear" w:color="auto" w:fill="auto"/>
              </w:rPr>
              <w:t>名</w:t>
            </w:r>
          </w:p>
        </w:tc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安全生产考核合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格证（C类）。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00" w:lineRule="exact"/>
        <w:ind w:left="420" w:hanging="420" w:hangingChars="200"/>
        <w:rPr>
          <w:rFonts w:ascii="宋体" w:hAnsi="宋体" w:eastAsia="宋体" w:cs="宋体"/>
          <w:color w:val="auto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注：1、本表为主要人员的最低要求，投标人应根据施工需要或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"/>
        </w:rPr>
        <w:t>国家相关规定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 xml:space="preserve">增加相关专业技术人员。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2、如因投标人的原因(除不可抗拒因素外)更换上述主要人员，须报请招标人批准，自行更换主要负责人的，对投标人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bidi="ar"/>
        </w:rPr>
        <w:t>按每人次课以50万元人民币违约金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。</w:t>
      </w:r>
    </w:p>
    <w:p>
      <w:pPr>
        <w:tabs>
          <w:tab w:val="left" w:pos="416"/>
        </w:tabs>
        <w:autoSpaceDE w:val="0"/>
        <w:autoSpaceDN w:val="0"/>
        <w:spacing w:before="122" w:line="360" w:lineRule="auto"/>
        <w:ind w:left="1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</w:p>
    <w:p>
      <w:pPr>
        <w:tabs>
          <w:tab w:val="left" w:pos="416"/>
        </w:tabs>
        <w:autoSpaceDE w:val="0"/>
        <w:autoSpaceDN w:val="0"/>
        <w:spacing w:before="122" w:line="360" w:lineRule="auto"/>
        <w:ind w:left="1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  <w:sectPr>
          <w:pgSz w:w="16838" w:h="11911" w:orient="landscape"/>
          <w:pgMar w:top="1100" w:right="1599" w:bottom="1179" w:left="1298" w:header="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1" w:charSpace="0"/>
        </w:sectPr>
      </w:pPr>
    </w:p>
    <w:p>
      <w:pPr>
        <w:tabs>
          <w:tab w:val="left" w:pos="416"/>
        </w:tabs>
        <w:autoSpaceDE w:val="0"/>
        <w:autoSpaceDN w:val="0"/>
        <w:spacing w:before="122" w:line="360" w:lineRule="auto"/>
        <w:ind w:left="100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附表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广元市青川县建峰灰岩矿开采及加工项目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投入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设备最低要求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包件一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</w:p>
    <w:tbl>
      <w:tblPr>
        <w:tblStyle w:val="6"/>
        <w:tblW w:w="10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651"/>
        <w:gridCol w:w="1290"/>
        <w:gridCol w:w="615"/>
        <w:gridCol w:w="893"/>
        <w:gridCol w:w="1079"/>
        <w:gridCol w:w="1449"/>
        <w:gridCol w:w="1105"/>
        <w:gridCol w:w="1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机械设备名称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规格、型号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260" w:lineRule="exact"/>
              <w:ind w:firstLine="210" w:firstLineChars="100"/>
              <w:jc w:val="center"/>
              <w:rPr>
                <w:bCs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  <w:t>基本要求</w:t>
            </w:r>
          </w:p>
        </w:tc>
        <w:tc>
          <w:tcPr>
            <w:tcW w:w="1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每增加1台自有设备加分值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加分上限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260" w:lineRule="exact"/>
              <w:jc w:val="center"/>
              <w:rPr>
                <w:bCs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  <w:t>总数量</w:t>
            </w:r>
          </w:p>
        </w:tc>
        <w:tc>
          <w:tcPr>
            <w:tcW w:w="10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260" w:lineRule="exact"/>
              <w:jc w:val="center"/>
              <w:rPr>
                <w:bCs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  <w:t>自有设备</w:t>
            </w:r>
          </w:p>
        </w:tc>
        <w:tc>
          <w:tcPr>
            <w:tcW w:w="14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6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6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一体式露天潜孔钻车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leftChars="0" w:right="5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所有设备出厂日期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在2018年1月1日之后。</w:t>
            </w:r>
          </w:p>
          <w:p>
            <w:pPr>
              <w:widowControl/>
              <w:numPr>
                <w:ilvl w:val="0"/>
                <w:numId w:val="0"/>
              </w:numPr>
              <w:spacing w:line="260" w:lineRule="exact"/>
              <w:ind w:right="5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自有设备需提供购买发票或公证机关出具的公证书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3、砂石加工生产线、水洗设备、污水处理设备要求投标单位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中标后新购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，投标时须提供购买设备承诺书，中标后须提供相应发票（发票日期须在中标时间后）。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挖掘机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360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right="5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装载机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50型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right="5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推土机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220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0.4</w:t>
            </w: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洒水车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T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自卸车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20m³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砂石加工生产线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时产1000吨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水洗设备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污水处理设备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/>
          <w:color w:val="auto"/>
          <w:szCs w:val="21"/>
          <w:highlight w:val="none"/>
        </w:rPr>
        <w:t>注：</w:t>
      </w:r>
      <w:r>
        <w:rPr>
          <w:rFonts w:hint="eastAsia" w:ascii="宋体" w:hAnsi="宋体" w:cs="宋体"/>
          <w:color w:val="auto"/>
          <w:szCs w:val="21"/>
          <w:highlight w:val="none"/>
        </w:rPr>
        <w:t>1、因本项目环保要求及品质工程建设需要，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环水保设备应该满足相关规定。</w:t>
      </w:r>
      <w:r>
        <w:rPr>
          <w:rFonts w:hint="eastAsia" w:ascii="宋体" w:hAnsi="宋体" w:cs="宋体"/>
          <w:color w:val="auto"/>
          <w:szCs w:val="21"/>
          <w:highlight w:val="none"/>
        </w:rPr>
        <w:t>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因相关主管部门</w:t>
      </w:r>
      <w:r>
        <w:rPr>
          <w:rFonts w:hint="eastAsia" w:ascii="宋体" w:hAnsi="宋体" w:cs="宋体"/>
          <w:color w:val="auto"/>
          <w:szCs w:val="21"/>
          <w:highlight w:val="none"/>
        </w:rPr>
        <w:t>、招标人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 w:cs="宋体"/>
          <w:color w:val="auto"/>
          <w:szCs w:val="21"/>
          <w:highlight w:val="none"/>
        </w:rPr>
        <w:t>增加装备的情况，投标人应配合招标人完成装备的增加，并投入使用。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2、本表中的总数量为投标人中标后向招标人承诺的投入最低设备要求。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广元市青川县建峰灰岩矿开采及加工项目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投入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设备最低要求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包件二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</w:p>
    <w:tbl>
      <w:tblPr>
        <w:tblStyle w:val="6"/>
        <w:tblW w:w="10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651"/>
        <w:gridCol w:w="1281"/>
        <w:gridCol w:w="624"/>
        <w:gridCol w:w="893"/>
        <w:gridCol w:w="1079"/>
        <w:gridCol w:w="1303"/>
        <w:gridCol w:w="1251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机械设备名称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规格、型号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260" w:lineRule="exact"/>
              <w:ind w:firstLine="210" w:firstLineChars="100"/>
              <w:jc w:val="center"/>
              <w:rPr>
                <w:bCs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  <w:t>基本要求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每增加1台自有设备加分值</w:t>
            </w: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加分上限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260" w:lineRule="exact"/>
              <w:jc w:val="center"/>
              <w:rPr>
                <w:bCs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  <w:t>总数量</w:t>
            </w:r>
          </w:p>
        </w:tc>
        <w:tc>
          <w:tcPr>
            <w:tcW w:w="10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spacing w:line="260" w:lineRule="exact"/>
              <w:jc w:val="center"/>
              <w:rPr>
                <w:bCs/>
                <w:color w:val="auto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  <w:t>自有设备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6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6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bidi="ar-SA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装载机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50型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60" w:lineRule="exact"/>
              <w:ind w:left="0" w:leftChars="0" w:right="5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所有设备出厂日期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在2018年1月1日之后。</w:t>
            </w:r>
          </w:p>
          <w:p>
            <w:pPr>
              <w:widowControl/>
              <w:numPr>
                <w:ilvl w:val="0"/>
                <w:numId w:val="0"/>
              </w:numPr>
              <w:spacing w:line="260" w:lineRule="exact"/>
              <w:ind w:right="5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自有设备需提供购买发票或公证机关出具的公证书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颚式破碎机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900*1200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圆锥式破碎机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冲击式破碎机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水洗设备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insoku w:val="0"/>
              <w:overflowPunct w:val="0"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污水处理设备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/>
          <w:color w:val="auto"/>
          <w:szCs w:val="21"/>
          <w:highlight w:val="none"/>
        </w:rPr>
        <w:t>注：</w:t>
      </w:r>
      <w:r>
        <w:rPr>
          <w:rFonts w:hint="eastAsia" w:ascii="宋体" w:hAnsi="宋体" w:cs="宋体"/>
          <w:color w:val="auto"/>
          <w:szCs w:val="21"/>
          <w:highlight w:val="none"/>
        </w:rPr>
        <w:t>1、因本项目环保要求及品质工程建设需要，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环水保设备应该满足相关规定。</w:t>
      </w:r>
      <w:r>
        <w:rPr>
          <w:rFonts w:hint="eastAsia" w:ascii="宋体" w:hAnsi="宋体" w:cs="宋体"/>
          <w:color w:val="auto"/>
          <w:szCs w:val="21"/>
          <w:highlight w:val="none"/>
        </w:rPr>
        <w:t>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因相关主管部门</w:t>
      </w:r>
      <w:r>
        <w:rPr>
          <w:rFonts w:hint="eastAsia" w:ascii="宋体" w:hAnsi="宋体" w:cs="宋体"/>
          <w:color w:val="auto"/>
          <w:szCs w:val="21"/>
          <w:highlight w:val="none"/>
        </w:rPr>
        <w:t>、招标人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 w:cs="宋体"/>
          <w:color w:val="auto"/>
          <w:szCs w:val="21"/>
          <w:highlight w:val="none"/>
        </w:rPr>
        <w:t>增加装备的情况，投标人应配合招标人完成装备的增加，并投入使用。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2、本表中的总数量为投标人中标后向招标人承诺的投入最低设备要求。</w:t>
      </w:r>
    </w:p>
    <w:p>
      <w:pPr>
        <w:pStyle w:val="4"/>
        <w:rPr>
          <w:rFonts w:hint="eastAsia" w:ascii="等线" w:hAnsi="等线" w:eastAsia="等线" w:cs="等线"/>
          <w:b/>
          <w:bCs/>
          <w:color w:val="auto"/>
          <w:sz w:val="48"/>
          <w:szCs w:val="48"/>
          <w:highlight w:val="none"/>
          <w:lang w:bidi="zh-CN"/>
        </w:rPr>
      </w:pPr>
    </w:p>
    <w:p>
      <w:pPr>
        <w:rPr>
          <w:rFonts w:hint="eastAsia" w:ascii="等线" w:hAnsi="等线" w:eastAsia="等线" w:cs="等线"/>
          <w:b/>
          <w:bCs/>
          <w:color w:val="auto"/>
          <w:sz w:val="48"/>
          <w:szCs w:val="48"/>
          <w:highlight w:val="none"/>
          <w:lang w:bidi="zh-CN"/>
        </w:rPr>
      </w:pPr>
    </w:p>
    <w:p>
      <w:pPr>
        <w:pStyle w:val="2"/>
        <w:rPr>
          <w:rFonts w:hint="eastAsia" w:ascii="等线" w:hAnsi="等线" w:eastAsia="等线" w:cs="等线"/>
          <w:b/>
          <w:bCs/>
          <w:color w:val="auto"/>
          <w:sz w:val="48"/>
          <w:szCs w:val="48"/>
          <w:highlight w:val="none"/>
          <w:lang w:bidi="zh-CN"/>
        </w:rPr>
      </w:pPr>
    </w:p>
    <w:p>
      <w:pPr>
        <w:rPr>
          <w:rFonts w:hint="eastAsia" w:ascii="等线" w:hAnsi="等线" w:eastAsia="等线" w:cs="等线"/>
          <w:b/>
          <w:bCs/>
          <w:color w:val="auto"/>
          <w:sz w:val="48"/>
          <w:szCs w:val="48"/>
          <w:highlight w:val="none"/>
          <w:lang w:bidi="zh-CN"/>
        </w:rPr>
      </w:pPr>
    </w:p>
    <w:p>
      <w:pPr>
        <w:pStyle w:val="2"/>
        <w:rPr>
          <w:rFonts w:hint="eastAsia" w:ascii="等线" w:hAnsi="等线" w:eastAsia="等线" w:cs="等线"/>
          <w:b/>
          <w:bCs/>
          <w:color w:val="auto"/>
          <w:sz w:val="48"/>
          <w:szCs w:val="48"/>
          <w:highlight w:val="none"/>
          <w:lang w:bidi="zh-CN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ascii="等线" w:hAnsi="等线" w:eastAsia="等线" w:cs="等线"/>
          <w:b/>
          <w:bCs/>
          <w:color w:val="auto"/>
          <w:sz w:val="48"/>
          <w:szCs w:val="48"/>
          <w:highlight w:val="none"/>
          <w:lang w:bidi="zh-CN"/>
        </w:rPr>
      </w:pPr>
    </w:p>
    <w:p>
      <w:pPr>
        <w:pStyle w:val="2"/>
        <w:rPr>
          <w:rFonts w:hint="eastAsia"/>
          <w:color w:val="auto"/>
        </w:rPr>
      </w:pPr>
    </w:p>
    <w:bookmarkEnd w:id="0"/>
    <w:bookmarkEnd w:id="1"/>
    <w:p>
      <w:pPr>
        <w:pStyle w:val="2"/>
        <w:spacing w:line="360" w:lineRule="auto"/>
        <w:ind w:firstLine="0" w:firstLineChars="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bookmarkStart w:id="2" w:name="_GoBack"/>
      <w:bookmarkEnd w:id="2"/>
    </w:p>
    <w:sectPr>
      <w:headerReference r:id="rId3" w:type="default"/>
      <w:footerReference r:id="rId4" w:type="default"/>
      <w:pgSz w:w="11911" w:h="16838"/>
      <w:pgMar w:top="1315" w:right="1179" w:bottom="1298" w:left="1100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DC701"/>
    <w:multiLevelType w:val="singleLevel"/>
    <w:tmpl w:val="825DC7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5311D"/>
    <w:rsid w:val="2B75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spacing w:line="360" w:lineRule="auto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2021-08-02T09:42:00Z</dcterms:created>
  <dc:creator>Sensual</dc:creator>
  <cp:lastModifiedBy>Sensual</cp:lastModifiedBy>
  <dcterms:modified xsi:type="dcterms:W3CDTF">2021-08-02T09:42:55Z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CF75DA5F9EDD4975A2F9E80E69EC5586</vt:lpwstr>
  </property>
</Properties>
</file>