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hint="eastAsia" w:ascii="宋体" w:hAnsi="宋体" w:cs="宋体"/>
          <w:b/>
          <w:color w:val="auto"/>
          <w:sz w:val="28"/>
          <w:szCs w:val="28"/>
          <w:highlight w:val="none"/>
        </w:rPr>
      </w:pPr>
      <w:bookmarkStart w:id="4" w:name="_GoBack"/>
      <w:bookmarkEnd w:id="4"/>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成渝高速公路路面专项养护工程劳务合作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none"/>
        </w:rPr>
      </w:pPr>
      <w:bookmarkStart w:id="2" w:name="_Toc20280_WPSOffice_Level1"/>
      <w:bookmarkStart w:id="3" w:name="_Toc22287"/>
    </w:p>
    <w:p>
      <w:pPr>
        <w:pStyle w:val="2"/>
        <w:jc w:val="left"/>
        <w:rPr>
          <w:rFonts w:hint="eastAsia" w:ascii="宋体" w:hAnsi="宋体" w:eastAsia="宋体" w:cs="宋体"/>
          <w:b/>
          <w:color w:val="auto"/>
          <w:sz w:val="28"/>
          <w:szCs w:val="28"/>
          <w:highlight w:val="none"/>
        </w:rPr>
      </w:pPr>
    </w:p>
    <w:tbl>
      <w:tblPr>
        <w:tblStyle w:val="24"/>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工期（月）</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K2141+630-K1933+600</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61</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范围内原路面病害铣刨重铺的前场劳务人员、机械的组织。</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5.5</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成渝高速公路路面专项养护工程</w:t>
      </w:r>
      <w:r>
        <w:rPr>
          <w:rFonts w:hint="eastAsia" w:ascii="宋体" w:hAnsi="宋体" w:cs="宋体"/>
          <w:b/>
          <w:bCs/>
          <w:color w:val="auto"/>
          <w:sz w:val="32"/>
          <w:szCs w:val="32"/>
          <w:highlight w:val="none"/>
          <w:lang w:val="en-US" w:eastAsia="zh-CN"/>
        </w:rPr>
        <w:t>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4"/>
        <w:tblW w:w="9919" w:type="dxa"/>
        <w:tblInd w:w="0" w:type="dxa"/>
        <w:tblLayout w:type="fixed"/>
        <w:tblCellMar>
          <w:top w:w="0" w:type="dxa"/>
          <w:left w:w="0" w:type="dxa"/>
          <w:bottom w:w="0" w:type="dxa"/>
          <w:right w:w="0" w:type="dxa"/>
        </w:tblCellMar>
      </w:tblPr>
      <w:tblGrid>
        <w:gridCol w:w="528"/>
        <w:gridCol w:w="615"/>
        <w:gridCol w:w="3690"/>
        <w:gridCol w:w="3690"/>
        <w:gridCol w:w="1396"/>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4"/>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4"/>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3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color w:val="auto"/>
                <w:sz w:val="18"/>
                <w:szCs w:val="18"/>
                <w:highlight w:val="none"/>
                <w:shd w:val="clear" w:color="auto" w:fill="auto"/>
              </w:rPr>
              <w:t>具有</w:t>
            </w:r>
            <w:r>
              <w:rPr>
                <w:rFonts w:hint="eastAsia" w:ascii="宋体" w:hAnsi="宋体" w:cs="宋体"/>
                <w:color w:val="auto"/>
                <w:sz w:val="18"/>
                <w:szCs w:val="18"/>
                <w:highlight w:val="none"/>
                <w:shd w:val="clear" w:color="auto" w:fill="auto"/>
              </w:rPr>
              <w:t>公路工程施工总承包三级及以上资质</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201</w:t>
            </w:r>
            <w:r>
              <w:rPr>
                <w:rFonts w:hint="eastAsia" w:ascii="宋体" w:hAnsi="宋体" w:cs="宋体"/>
                <w:color w:val="auto"/>
                <w:kern w:val="0"/>
                <w:sz w:val="18"/>
                <w:szCs w:val="18"/>
                <w:highlight w:val="none"/>
                <w:shd w:val="clear" w:color="auto" w:fill="auto"/>
                <w:lang w:val="en-US" w:eastAsia="zh-CN" w:bidi="ar"/>
              </w:rPr>
              <w:t>8</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w:t>
            </w:r>
            <w:r>
              <w:rPr>
                <w:rFonts w:hint="eastAsia" w:ascii="宋体" w:hAnsi="宋体" w:cs="宋体"/>
                <w:color w:val="auto"/>
                <w:kern w:val="0"/>
                <w:sz w:val="18"/>
                <w:szCs w:val="18"/>
                <w:highlight w:val="none"/>
                <w:shd w:val="clear" w:color="auto" w:fill="auto"/>
                <w:lang w:eastAsia="zh-CN" w:bidi="ar"/>
              </w:rPr>
              <w:t>合同金额</w:t>
            </w:r>
            <w:r>
              <w:rPr>
                <w:rFonts w:hint="eastAsia" w:ascii="宋体" w:hAnsi="宋体" w:cs="宋体"/>
                <w:color w:val="auto"/>
                <w:kern w:val="0"/>
                <w:sz w:val="18"/>
                <w:szCs w:val="18"/>
                <w:highlight w:val="none"/>
                <w:shd w:val="clear" w:color="auto" w:fill="auto"/>
                <w:lang w:val="en-US" w:eastAsia="zh-CN" w:bidi="ar"/>
                <w14:textFill>
                  <w14:gradFill>
                    <w14:gsLst>
                      <w14:gs w14:pos="0">
                        <w14:srgbClr w14:val="E30000"/>
                      </w14:gs>
                      <w14:gs w14:pos="100000">
                        <w14:srgbClr w14:val="760303"/>
                      </w14:gs>
                    </w14:gsLst>
                    <w14:lin w14:scaled="0"/>
                  </w14:gradFill>
                </w14:textFill>
              </w:rPr>
              <w:t>1</w:t>
            </w:r>
            <w:r>
              <w:rPr>
                <w:rFonts w:hint="eastAsia" w:ascii="宋体" w:hAnsi="宋体" w:cs="宋体"/>
                <w:color w:val="auto"/>
                <w:kern w:val="0"/>
                <w:sz w:val="18"/>
                <w:szCs w:val="18"/>
                <w:highlight w:val="none"/>
                <w:shd w:val="clear" w:color="auto" w:fill="auto"/>
                <w:lang w:eastAsia="zh-CN" w:bidi="ar"/>
                <w14:textFill>
                  <w14:gradFill>
                    <w14:gsLst>
                      <w14:gs w14:pos="0">
                        <w14:srgbClr w14:val="E30000"/>
                      </w14:gs>
                      <w14:gs w14:pos="100000">
                        <w14:srgbClr w14:val="760303"/>
                      </w14:gs>
                    </w14:gsLst>
                    <w14:lin w14:scaled="0"/>
                  </w14:gradFill>
                </w14:textFill>
              </w:rPr>
              <w:t>00万元</w:t>
            </w:r>
            <w:r>
              <w:rPr>
                <w:rFonts w:hint="eastAsia" w:ascii="宋体" w:hAnsi="宋体" w:cs="宋体"/>
                <w:color w:val="auto"/>
                <w:kern w:val="0"/>
                <w:sz w:val="18"/>
                <w:szCs w:val="18"/>
                <w:highlight w:val="none"/>
                <w:shd w:val="clear" w:color="auto" w:fill="auto"/>
                <w:lang w:eastAsia="zh-CN" w:bidi="ar"/>
              </w:rPr>
              <w:t>以</w:t>
            </w:r>
            <w:r>
              <w:rPr>
                <w:rFonts w:hint="eastAsia" w:ascii="宋体" w:hAnsi="宋体" w:cs="宋体"/>
                <w:color w:val="auto"/>
                <w:kern w:val="0"/>
                <w:sz w:val="18"/>
                <w:szCs w:val="18"/>
                <w:highlight w:val="none"/>
                <w:shd w:val="clear" w:color="auto" w:fill="auto"/>
                <w:lang w:val="en-US" w:eastAsia="zh-CN" w:bidi="ar"/>
              </w:rPr>
              <w:t>上的高速公路路基路面工程施工业绩。</w:t>
            </w:r>
          </w:p>
        </w:tc>
        <w:tc>
          <w:tcPr>
            <w:tcW w:w="13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auto"/>
          <w:kern w:val="2"/>
          <w:sz w:val="20"/>
          <w:szCs w:val="20"/>
          <w:highlight w:val="none"/>
          <w:shd w:val="clear" w:color="auto" w:fill="auto"/>
          <w:lang w:val="en-US" w:eastAsia="zh-CN" w:bidi="ar-SA"/>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auto"/>
          <w:kern w:val="2"/>
          <w:sz w:val="20"/>
          <w:szCs w:val="20"/>
          <w:highlight w:val="none"/>
          <w:shd w:val="clear" w:color="auto" w:fill="auto"/>
          <w:lang w:val="en-US" w:eastAsia="zh-CN" w:bidi="ar-SA"/>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成渝高速公路路面专项养护工程劳务合作标</w:t>
            </w:r>
            <w:r>
              <w:rPr>
                <w:rFonts w:hint="eastAsia" w:ascii="仿宋" w:hAnsi="仿宋" w:eastAsia="仿宋" w:cs="仿宋"/>
                <w:b/>
                <w:bCs/>
                <w:color w:val="auto"/>
                <w:sz w:val="28"/>
                <w:szCs w:val="28"/>
                <w:highlight w:val="none"/>
                <w:lang w:eastAsia="zh-CN"/>
              </w:rPr>
              <w:t>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专职</w:t>
            </w:r>
            <w:r>
              <w:rPr>
                <w:rFonts w:hint="eastAsia" w:ascii="宋体" w:hAnsi="宋体" w:eastAsia="宋体" w:cs="宋体"/>
                <w:i w:val="0"/>
                <w:color w:val="auto"/>
                <w:kern w:val="0"/>
                <w:sz w:val="20"/>
                <w:szCs w:val="20"/>
                <w:highlight w:val="none"/>
                <w:u w:val="none"/>
                <w:lang w:val="en-US" w:eastAsia="zh-CN"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rPr>
              <w:t>持主管部门颁发的安全</w:t>
            </w:r>
            <w:r>
              <w:rPr>
                <w:rFonts w:ascii="宋体" w:hAnsi="宋体" w:cs="宋体"/>
                <w:sz w:val="18"/>
                <w:szCs w:val="18"/>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班组长</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协助项目负责人负责现场进度、质量、内业工作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具有</w:t>
            </w:r>
            <w:r>
              <w:rPr>
                <w:rFonts w:hint="eastAsia" w:ascii="宋体" w:hAnsi="宋体" w:cs="宋体"/>
                <w:sz w:val="18"/>
                <w:szCs w:val="18"/>
                <w:lang w:val="en-US" w:eastAsia="zh-CN"/>
              </w:rPr>
              <w:t>2条</w:t>
            </w:r>
            <w:r>
              <w:rPr>
                <w:rFonts w:hint="eastAsia" w:ascii="宋体" w:hAnsi="宋体" w:cs="宋体"/>
                <w:sz w:val="18"/>
                <w:szCs w:val="18"/>
                <w:lang w:eastAsia="zh-CN"/>
              </w:rPr>
              <w:t>高速公路路面</w:t>
            </w:r>
            <w:r>
              <w:rPr>
                <w:rFonts w:hint="eastAsia" w:ascii="宋体" w:hAnsi="宋体" w:cs="宋体"/>
                <w:sz w:val="18"/>
                <w:szCs w:val="18"/>
                <w:lang w:val="en-US" w:eastAsia="zh-CN"/>
              </w:rPr>
              <w:t>养护</w:t>
            </w:r>
            <w:r>
              <w:rPr>
                <w:rFonts w:hint="eastAsia" w:ascii="宋体" w:hAnsi="宋体" w:cs="宋体"/>
                <w:sz w:val="18"/>
                <w:szCs w:val="18"/>
                <w:lang w:eastAsia="zh-CN"/>
              </w:rPr>
              <w:t>工程施工经验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ind w:firstLine="0"/>
        <w:jc w:val="left"/>
        <w:rPr>
          <w:rFonts w:hint="eastAsia" w:ascii="宋体" w:hAnsi="宋体" w:eastAsia="宋体" w:cs="宋体"/>
          <w:b/>
          <w:color w:val="auto"/>
          <w:sz w:val="28"/>
          <w:szCs w:val="28"/>
          <w:highlight w:val="none"/>
          <w:lang w:eastAsia="zh-CN"/>
        </w:rPr>
      </w:pPr>
    </w:p>
    <w:tbl>
      <w:tblPr>
        <w:tblStyle w:val="24"/>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成渝高速公路路面专项养护工程劳务合作</w:t>
            </w:r>
          </w:p>
          <w:p>
            <w:pPr>
              <w:keepNext w:val="0"/>
              <w:keepLines w:val="0"/>
              <w:widowControl/>
              <w:suppressLineNumbers w:val="0"/>
              <w:jc w:val="center"/>
              <w:textAlignment w:val="center"/>
              <w:rPr>
                <w:rFonts w:hint="eastAsia" w:ascii="仿宋" w:hAnsi="仿宋" w:eastAsia="仿宋" w:cs="仿宋"/>
                <w:b/>
                <w:bCs/>
                <w:i w:val="0"/>
                <w:color w:val="auto"/>
                <w:kern w:val="2"/>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4"/>
              <w:tblpPr w:leftFromText="180" w:rightFromText="180" w:vertAnchor="text" w:horzAnchor="page" w:tblpXSpec="center" w:tblpY="-2073"/>
              <w:tblOverlap w:val="never"/>
              <w:tblW w:w="9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636"/>
              <w:gridCol w:w="1302"/>
              <w:gridCol w:w="659"/>
              <w:gridCol w:w="1021"/>
              <w:gridCol w:w="825"/>
              <w:gridCol w:w="2012"/>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序号</w:t>
                  </w:r>
                </w:p>
              </w:tc>
              <w:tc>
                <w:tcPr>
                  <w:tcW w:w="163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jc w:val="center"/>
                    <w:textAlignment w:val="auto"/>
                    <w:rPr>
                      <w:rFonts w:hint="eastAsia"/>
                    </w:rPr>
                  </w:pPr>
                  <w:r>
                    <w:rPr>
                      <w:rFonts w:hint="eastAsia"/>
                    </w:rPr>
                    <w:t>机械设备名称</w:t>
                  </w:r>
                </w:p>
              </w:tc>
              <w:tc>
                <w:tcPr>
                  <w:tcW w:w="1302"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rPr>
                  </w:pPr>
                  <w:r>
                    <w:rPr>
                      <w:rFonts w:hint="eastAsia"/>
                    </w:rPr>
                    <w:t>规格、型号</w:t>
                  </w:r>
                </w:p>
              </w:tc>
              <w:tc>
                <w:tcPr>
                  <w:tcW w:w="659"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lang w:val="en-US"/>
                    </w:rPr>
                  </w:pPr>
                  <w:r>
                    <w:rPr>
                      <w:rFonts w:hint="eastAsia"/>
                      <w:lang w:eastAsia="zh-CN"/>
                    </w:rPr>
                    <w:t>单位</w:t>
                  </w:r>
                </w:p>
              </w:tc>
              <w:tc>
                <w:tcPr>
                  <w:tcW w:w="18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lang w:val="en-US" w:eastAsia="zh-CN"/>
                    </w:rPr>
                  </w:pPr>
                  <w:r>
                    <w:rPr>
                      <w:rFonts w:hint="eastAsia"/>
                      <w:lang w:val="en-US" w:eastAsia="zh-CN"/>
                    </w:rPr>
                    <w:t>基本要求数量</w:t>
                  </w:r>
                </w:p>
              </w:tc>
              <w:tc>
                <w:tcPr>
                  <w:tcW w:w="2012"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p>
                  <w:pPr>
                    <w:widowControl/>
                    <w:numPr>
                      <w:ilvl w:val="0"/>
                      <w:numId w:val="0"/>
                    </w:numPr>
                    <w:kinsoku/>
                    <w:overflowPunct/>
                    <w:spacing w:beforeLines="0" w:afterLines="0" w:line="240" w:lineRule="auto"/>
                    <w:ind w:left="0" w:right="0"/>
                    <w:jc w:val="center"/>
                    <w:textAlignment w:val="auto"/>
                    <w:rPr>
                      <w:rFonts w:hint="eastAsia"/>
                      <w:lang w:val="en-US" w:eastAsia="zh-CN"/>
                    </w:rPr>
                  </w:pPr>
                </w:p>
              </w:tc>
              <w:tc>
                <w:tcPr>
                  <w:tcW w:w="986" w:type="dxa"/>
                  <w:vMerge w:val="restart"/>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lang w:eastAsia="zh-CN"/>
                    </w:rPr>
                  </w:pPr>
                  <w:r>
                    <w:rPr>
                      <w:rFonts w:hint="eastAsia"/>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645"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pPr>
                </w:p>
              </w:tc>
              <w:tc>
                <w:tcPr>
                  <w:tcW w:w="1636"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pPr>
                </w:p>
              </w:tc>
              <w:tc>
                <w:tcPr>
                  <w:tcW w:w="1302"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pPr>
                </w:p>
              </w:tc>
              <w:tc>
                <w:tcPr>
                  <w:tcW w:w="659"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pP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lang w:val="en-US" w:eastAsia="zh-CN"/>
                    </w:rPr>
                  </w:pPr>
                  <w:r>
                    <w:rPr>
                      <w:rFonts w:hint="eastAsia"/>
                      <w:lang w:val="en-US" w:eastAsia="zh-CN"/>
                    </w:rPr>
                    <w:t>总数量</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1"/>
                      <w:numId w:val="0"/>
                    </w:numPr>
                    <w:kinsoku/>
                    <w:overflowPunct/>
                    <w:spacing w:beforeLines="-2147483648" w:afterLines="-2147483648" w:line="240" w:lineRule="auto"/>
                    <w:ind w:left="0" w:leftChars="0" w:right="0" w:rightChars="0" w:firstLine="0" w:firstLineChars="0"/>
                    <w:jc w:val="center"/>
                    <w:textAlignment w:val="auto"/>
                    <w:rPr>
                      <w:rFonts w:hint="eastAsia"/>
                      <w:lang w:val="en-US" w:eastAsia="zh-CN"/>
                    </w:rPr>
                  </w:pPr>
                  <w:r>
                    <w:rPr>
                      <w:rFonts w:hint="eastAsia"/>
                      <w:lang w:val="en-US" w:eastAsia="zh-CN"/>
                    </w:rPr>
                    <w:t>自有设备</w:t>
                  </w:r>
                </w:p>
              </w:tc>
              <w:tc>
                <w:tcPr>
                  <w:tcW w:w="2012"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kinsoku/>
                    <w:overflowPunct/>
                    <w:spacing w:beforeLines="0" w:afterLines="0" w:line="240" w:lineRule="auto"/>
                    <w:ind w:left="0" w:right="0"/>
                    <w:jc w:val="center"/>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val="en-US" w:eastAsia="zh-CN"/>
                    </w:rPr>
                  </w:pPr>
                  <w:r>
                    <w:rPr>
                      <w:rFonts w:hint="eastAsia"/>
                      <w:lang w:val="en-US" w:eastAsia="zh-CN"/>
                    </w:rPr>
                    <w:t>1</w:t>
                  </w:r>
                </w:p>
              </w:tc>
              <w:tc>
                <w:tcPr>
                  <w:tcW w:w="1636"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rPr>
                  </w:pPr>
                  <w:r>
                    <w:rPr>
                      <w:rFonts w:hint="eastAsia"/>
                    </w:rPr>
                    <w:t>沥青砼摊铺机</w:t>
                  </w:r>
                </w:p>
              </w:tc>
              <w:tc>
                <w:tcPr>
                  <w:tcW w:w="1302"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rPr>
                  </w:pPr>
                  <w:r>
                    <w:rPr>
                      <w:rFonts w:hint="eastAsia"/>
                    </w:rPr>
                    <w:t>福格勒S1800-2</w:t>
                  </w:r>
                </w:p>
              </w:tc>
              <w:tc>
                <w:tcPr>
                  <w:tcW w:w="659" w:type="dxa"/>
                  <w:tcBorders>
                    <w:top w:val="single" w:color="000000" w:sz="4" w:space="0"/>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restart"/>
                  <w:tcBorders>
                    <w:top w:val="single" w:color="000000" w:sz="4" w:space="0"/>
                    <w:left w:val="single" w:color="auto" w:sz="4" w:space="0"/>
                    <w:right w:val="single" w:color="000000"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2016年1月后</w:t>
                  </w:r>
                </w:p>
              </w:tc>
              <w:tc>
                <w:tcPr>
                  <w:tcW w:w="986"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一个作业组的设备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eastAsia="zh-CN"/>
                    </w:rPr>
                  </w:pPr>
                  <w:r>
                    <w:rPr>
                      <w:rFonts w:hint="eastAsia"/>
                    </w:rPr>
                    <w:t>双钢轮压路机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rPr>
                    <w:t>悍马HD130</w:t>
                  </w:r>
                  <w:r>
                    <w:rPr>
                      <w:rFonts w:hint="eastAsia"/>
                      <w:lang w:val="en-US" w:eastAsia="zh-CN"/>
                    </w:rPr>
                    <w:t>或同型号设备</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rPr>
                  </w:pPr>
                  <w:r>
                    <w:rPr>
                      <w:rFonts w:hint="eastAsia"/>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0" w:rightChars="0" w:firstLine="0" w:firstLineChars="0"/>
                    <w:jc w:val="center"/>
                    <w:textAlignment w:val="center"/>
                    <w:rPr>
                      <w:rFonts w:hint="eastAsia"/>
                      <w:lang w:val="en-US" w:eastAsia="zh-CN"/>
                    </w:rPr>
                  </w:pPr>
                  <w:r>
                    <w:rPr>
                      <w:rFonts w:hint="eastAsia"/>
                      <w:lang w:val="en-US" w:eastAsia="zh-CN"/>
                    </w:rPr>
                    <w:t>胶轮</w:t>
                  </w:r>
                  <w:r>
                    <w:rPr>
                      <w:rFonts w:hint="eastAsia"/>
                      <w:lang w:eastAsia="zh-CN"/>
                    </w:rPr>
                    <w:t>压路机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rPr>
                    <w:t>徐工30</w:t>
                  </w:r>
                  <w:r>
                    <w:rPr>
                      <w:rFonts w:hint="eastAsia"/>
                      <w:lang w:val="en-US" w:eastAsia="zh-CN"/>
                    </w:rPr>
                    <w:t>2或同类国产品牌</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eastAsia="zh-CN"/>
                    </w:rPr>
                  </w:pPr>
                  <w:r>
                    <w:rPr>
                      <w:rFonts w:hint="eastAsia"/>
                      <w:lang w:val="en-US" w:eastAsia="zh-CN"/>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firstLine="0" w:firstLineChars="0"/>
                    <w:jc w:val="center"/>
                    <w:textAlignment w:val="center"/>
                    <w:rPr>
                      <w:rFonts w:hint="eastAsia"/>
                      <w:lang w:val="en-US" w:eastAsia="zh-CN"/>
                    </w:rPr>
                  </w:pPr>
                  <w:r>
                    <w:rPr>
                      <w:rFonts w:hint="eastAsia"/>
                      <w:lang w:val="en-US" w:eastAsia="zh-CN"/>
                    </w:rPr>
                    <w:t>山猫清扫车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S550</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58" w:lineRule="exact"/>
                    <w:ind w:left="0" w:leftChars="0" w:right="5" w:rightChars="0" w:firstLine="0" w:firstLineChars="0"/>
                    <w:jc w:val="center"/>
                    <w:textAlignment w:val="center"/>
                    <w:rPr>
                      <w:rFonts w:hint="eastAsia"/>
                      <w:lang w:val="en-US" w:eastAsia="zh-CN"/>
                    </w:rPr>
                  </w:pPr>
                  <w:r>
                    <w:rPr>
                      <w:rFonts w:hint="eastAsia"/>
                      <w:lang w:val="en-US" w:eastAsia="zh-CN"/>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lang w:val="en-US" w:eastAsia="zh-CN"/>
                    </w:rPr>
                    <w:t>铣刨机</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200</w:t>
                  </w:r>
                  <w:r>
                    <w:t>0</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台</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line="240" w:lineRule="auto"/>
                    <w:ind w:left="0" w:leftChars="0" w:firstLine="0" w:firstLineChars="0"/>
                    <w:jc w:val="center"/>
                    <w:textAlignment w:val="center"/>
                    <w:rPr>
                      <w:rFonts w:hint="default"/>
                      <w:lang w:val="en-US" w:eastAsia="zh-CN"/>
                    </w:rPr>
                  </w:pPr>
                  <w:r>
                    <w:rPr>
                      <w:rFonts w:hint="eastAsia"/>
                      <w:lang w:val="en-US" w:eastAsia="zh-CN"/>
                    </w:rPr>
                    <w:t>绿化</w:t>
                  </w:r>
                  <w:r>
                    <w:rPr>
                      <w:rFonts w:hint="eastAsia"/>
                    </w:rPr>
                    <w:t>水车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10</w:t>
                  </w:r>
                  <w:r>
                    <w:rPr>
                      <w:rFonts w:hint="eastAsia"/>
                      <w:lang w:val="en-US" w:eastAsia="zh-CN"/>
                    </w:rPr>
                    <w:t>m³</w:t>
                  </w: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eastAsia="宋体"/>
                      <w:lang w:val="en-US" w:eastAsia="zh-CN"/>
                    </w:rPr>
                  </w:pPr>
                  <w:r>
                    <w:rPr>
                      <w:rFonts w:hint="eastAsia"/>
                      <w:lang w:val="en-US" w:eastAsia="zh-CN"/>
                    </w:rPr>
                    <w:t>加油车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全智能沥青洒布车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r>
                    <w:rPr>
                      <w:rFonts w:hint="eastAsia"/>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收渣车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kinsoku w:val="0"/>
                    <w:overflowPunct w:val="0"/>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17座金杯交通车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eastAsia"/>
                      <w:lang w:val="en-US" w:eastAsia="zh-CN"/>
                    </w:rPr>
                  </w:pPr>
                </w:p>
              </w:tc>
              <w:tc>
                <w:tcPr>
                  <w:tcW w:w="6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center"/>
                    <w:textAlignment w:val="center"/>
                    <w:rPr>
                      <w:rFonts w:hint="default"/>
                      <w:lang w:val="en-US" w:eastAsia="zh-CN"/>
                    </w:rPr>
                  </w:pPr>
                  <w:r>
                    <w:rPr>
                      <w:rFonts w:hint="eastAsia"/>
                      <w:lang w:val="en-US" w:eastAsia="zh-CN"/>
                    </w:rPr>
                    <w:t>辆</w:t>
                  </w:r>
                </w:p>
              </w:tc>
              <w:tc>
                <w:tcPr>
                  <w:tcW w:w="10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lang w:val="en-US" w:eastAsia="zh-CN"/>
                    </w:rPr>
                  </w:pPr>
                </w:p>
              </w:tc>
              <w:tc>
                <w:tcPr>
                  <w:tcW w:w="2012" w:type="dxa"/>
                  <w:vMerge w:val="continue"/>
                  <w:tcBorders>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lang w:val="en-US" w:eastAsia="zh-CN"/>
                    </w:rPr>
                  </w:pPr>
                </w:p>
              </w:tc>
              <w:tc>
                <w:tcPr>
                  <w:tcW w:w="986" w:type="dxa"/>
                  <w:vMerge w:val="continue"/>
                  <w:tcBorders>
                    <w:left w:val="single" w:color="000000"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lang w:val="en-US" w:eastAsia="zh-CN"/>
                    </w:rPr>
                  </w:pPr>
                </w:p>
              </w:tc>
            </w:tr>
          </w:tbl>
          <w:p>
            <w:pPr>
              <w:keepNext w:val="0"/>
              <w:keepLines w:val="0"/>
              <w:widowControl/>
              <w:numPr>
                <w:ilvl w:val="0"/>
                <w:numId w:val="0"/>
              </w:numPr>
              <w:suppressLineNumbers w:val="0"/>
              <w:jc w:val="left"/>
              <w:textAlignment w:val="auto"/>
              <w:rPr>
                <w:rFonts w:hint="eastAsia"/>
                <w:lang w:val="en-US" w:eastAsia="zh-CN"/>
              </w:rPr>
            </w:pPr>
          </w:p>
          <w:p>
            <w:pPr>
              <w:keepNext w:val="0"/>
              <w:keepLines w:val="0"/>
              <w:widowControl/>
              <w:numPr>
                <w:ilvl w:val="0"/>
                <w:numId w:val="0"/>
              </w:numPr>
              <w:suppressLineNumbers w:val="0"/>
              <w:jc w:val="left"/>
              <w:textAlignment w:val="auto"/>
              <w:rPr>
                <w:rFonts w:hint="eastAsia"/>
              </w:rPr>
            </w:pPr>
            <w:r>
              <w:rPr>
                <w:rFonts w:hint="eastAsia"/>
                <w:lang w:val="en-US" w:eastAsia="zh-CN"/>
              </w:rPr>
              <w:t>注：1、</w:t>
            </w:r>
            <w:r>
              <w:rPr>
                <w:rFonts w:hint="eastAsia"/>
              </w:rPr>
              <w:t>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lang w:val="en-US" w:eastAsia="zh-CN"/>
              </w:rPr>
            </w:pPr>
            <w:r>
              <w:rPr>
                <w:rFonts w:hint="eastAsia"/>
                <w:lang w:val="en-US" w:eastAsia="zh-CN"/>
              </w:rPr>
              <w:t>本表中的总数量为承包人中标后向发包人承诺的投入最低设备要求，并以书面形式纳入合同附件。</w:t>
            </w:r>
          </w:p>
          <w:p>
            <w:pPr>
              <w:widowControl/>
              <w:numPr>
                <w:ilvl w:val="0"/>
                <w:numId w:val="0"/>
              </w:numPr>
              <w:jc w:val="left"/>
              <w:textAlignment w:val="auto"/>
              <w:rPr>
                <w:rFonts w:hint="default"/>
                <w:lang w:val="en-US" w:eastAsia="zh-CN"/>
              </w:rPr>
            </w:pPr>
            <w:r>
              <w:rPr>
                <w:rFonts w:hint="eastAsia"/>
                <w:lang w:val="en-US" w:eastAsia="zh-CN"/>
              </w:rPr>
              <w:t>3、自有设备需提供设备购买发票，租赁设备需提供有效的租赁合同。</w:t>
            </w:r>
          </w:p>
          <w:p>
            <w:pPr>
              <w:pStyle w:val="2"/>
              <w:rPr>
                <w:rFonts w:hint="eastAsia"/>
                <w:lang w:val="en-US" w:eastAsia="zh-CN"/>
              </w:rPr>
            </w:pPr>
          </w:p>
        </w:tc>
      </w:tr>
      <w:bookmarkEnd w:id="0"/>
      <w:bookmarkEnd w:id="1"/>
      <w:bookmarkEnd w:id="2"/>
      <w:bookmarkEnd w:id="3"/>
    </w:tbl>
    <w:p>
      <w:pPr>
        <w:pStyle w:val="2"/>
        <w:ind w:firstLine="0"/>
        <w:jc w:val="left"/>
        <w:rPr>
          <w:rFonts w:hint="eastAsia" w:ascii="仿宋" w:hAnsi="仿宋" w:eastAsia="仿宋" w:cs="仿宋"/>
          <w:b/>
          <w:bCs/>
          <w:color w:val="auto"/>
          <w:sz w:val="32"/>
          <w:szCs w:val="32"/>
          <w:highlight w:val="none"/>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74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C91FF6"/>
    <w:rsid w:val="02234285"/>
    <w:rsid w:val="02293F6E"/>
    <w:rsid w:val="034278EB"/>
    <w:rsid w:val="034362AF"/>
    <w:rsid w:val="036478D0"/>
    <w:rsid w:val="03722D3D"/>
    <w:rsid w:val="03EF34BA"/>
    <w:rsid w:val="04141433"/>
    <w:rsid w:val="043A09CE"/>
    <w:rsid w:val="04875E2C"/>
    <w:rsid w:val="04964555"/>
    <w:rsid w:val="04CB6A7F"/>
    <w:rsid w:val="04E9686E"/>
    <w:rsid w:val="050D4A7D"/>
    <w:rsid w:val="051677EF"/>
    <w:rsid w:val="051A52E2"/>
    <w:rsid w:val="05432625"/>
    <w:rsid w:val="057B26D7"/>
    <w:rsid w:val="059277A1"/>
    <w:rsid w:val="05950823"/>
    <w:rsid w:val="05AE3F52"/>
    <w:rsid w:val="05B4006A"/>
    <w:rsid w:val="05CA6B61"/>
    <w:rsid w:val="05D42EBD"/>
    <w:rsid w:val="05DE56DE"/>
    <w:rsid w:val="05EF79DE"/>
    <w:rsid w:val="05F90419"/>
    <w:rsid w:val="06081FC2"/>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4602D0"/>
    <w:rsid w:val="095F1405"/>
    <w:rsid w:val="098149B8"/>
    <w:rsid w:val="09AB61F4"/>
    <w:rsid w:val="09BC4DF4"/>
    <w:rsid w:val="09CA7E3E"/>
    <w:rsid w:val="09EC0230"/>
    <w:rsid w:val="09F909D7"/>
    <w:rsid w:val="09F96C7D"/>
    <w:rsid w:val="0A133C01"/>
    <w:rsid w:val="0A155AEE"/>
    <w:rsid w:val="0A2E1D1D"/>
    <w:rsid w:val="0AF339DE"/>
    <w:rsid w:val="0B006D47"/>
    <w:rsid w:val="0B0C0E20"/>
    <w:rsid w:val="0B623651"/>
    <w:rsid w:val="0BF66816"/>
    <w:rsid w:val="0C3977C8"/>
    <w:rsid w:val="0C7D6D6C"/>
    <w:rsid w:val="0C814DCD"/>
    <w:rsid w:val="0CD61992"/>
    <w:rsid w:val="0CFE00F2"/>
    <w:rsid w:val="0D23326F"/>
    <w:rsid w:val="0D391FC2"/>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44760D"/>
    <w:rsid w:val="0E7955AF"/>
    <w:rsid w:val="0E9931F0"/>
    <w:rsid w:val="0E9F712A"/>
    <w:rsid w:val="0EA64445"/>
    <w:rsid w:val="0EAA5D4E"/>
    <w:rsid w:val="0EEB6056"/>
    <w:rsid w:val="0EFD4000"/>
    <w:rsid w:val="0F1611F1"/>
    <w:rsid w:val="0F265206"/>
    <w:rsid w:val="0F2856BE"/>
    <w:rsid w:val="0F9619D4"/>
    <w:rsid w:val="0F9C0A77"/>
    <w:rsid w:val="0FC609F3"/>
    <w:rsid w:val="103861BE"/>
    <w:rsid w:val="10484DFE"/>
    <w:rsid w:val="106614A1"/>
    <w:rsid w:val="1089445F"/>
    <w:rsid w:val="10B90F9B"/>
    <w:rsid w:val="10D6493B"/>
    <w:rsid w:val="10F05345"/>
    <w:rsid w:val="111446E3"/>
    <w:rsid w:val="113B1C0C"/>
    <w:rsid w:val="1191016A"/>
    <w:rsid w:val="11995EC3"/>
    <w:rsid w:val="11AF06E1"/>
    <w:rsid w:val="11C218A5"/>
    <w:rsid w:val="11D41E16"/>
    <w:rsid w:val="11E06AF2"/>
    <w:rsid w:val="11F200D9"/>
    <w:rsid w:val="123020E5"/>
    <w:rsid w:val="125127A7"/>
    <w:rsid w:val="12EB084A"/>
    <w:rsid w:val="130F32A6"/>
    <w:rsid w:val="1346403B"/>
    <w:rsid w:val="138832C0"/>
    <w:rsid w:val="139C70BD"/>
    <w:rsid w:val="139D6A6E"/>
    <w:rsid w:val="13A837AA"/>
    <w:rsid w:val="13BE1BF5"/>
    <w:rsid w:val="13DE1E9F"/>
    <w:rsid w:val="13EB01A5"/>
    <w:rsid w:val="13F40DB0"/>
    <w:rsid w:val="140B4AAA"/>
    <w:rsid w:val="146B3531"/>
    <w:rsid w:val="14902CDE"/>
    <w:rsid w:val="14AD1CC9"/>
    <w:rsid w:val="14CC3097"/>
    <w:rsid w:val="15441F95"/>
    <w:rsid w:val="15452BE6"/>
    <w:rsid w:val="15562250"/>
    <w:rsid w:val="156B6FF0"/>
    <w:rsid w:val="15760107"/>
    <w:rsid w:val="15944091"/>
    <w:rsid w:val="15965061"/>
    <w:rsid w:val="15C04CD1"/>
    <w:rsid w:val="16503E01"/>
    <w:rsid w:val="165528D8"/>
    <w:rsid w:val="165F6B34"/>
    <w:rsid w:val="16995E37"/>
    <w:rsid w:val="16A86D68"/>
    <w:rsid w:val="16C97346"/>
    <w:rsid w:val="16FE3947"/>
    <w:rsid w:val="1703535A"/>
    <w:rsid w:val="171522DC"/>
    <w:rsid w:val="17666F98"/>
    <w:rsid w:val="177259D8"/>
    <w:rsid w:val="17A71FF4"/>
    <w:rsid w:val="18114B6C"/>
    <w:rsid w:val="182714AF"/>
    <w:rsid w:val="185F6743"/>
    <w:rsid w:val="18762173"/>
    <w:rsid w:val="188D711B"/>
    <w:rsid w:val="18A92F77"/>
    <w:rsid w:val="18BB4412"/>
    <w:rsid w:val="18D746B5"/>
    <w:rsid w:val="193C5A11"/>
    <w:rsid w:val="194A2CAF"/>
    <w:rsid w:val="196A0FB4"/>
    <w:rsid w:val="197A0DA0"/>
    <w:rsid w:val="19FC5172"/>
    <w:rsid w:val="1A0E71DA"/>
    <w:rsid w:val="1A7317D7"/>
    <w:rsid w:val="1AF03522"/>
    <w:rsid w:val="1AF51BBE"/>
    <w:rsid w:val="1B07676B"/>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77023B"/>
    <w:rsid w:val="1C7B7046"/>
    <w:rsid w:val="1CAE658B"/>
    <w:rsid w:val="1CB531E3"/>
    <w:rsid w:val="1CC738F0"/>
    <w:rsid w:val="1CEA0145"/>
    <w:rsid w:val="1D5A4B4C"/>
    <w:rsid w:val="1D6147A8"/>
    <w:rsid w:val="1DFC54FF"/>
    <w:rsid w:val="1E0F6013"/>
    <w:rsid w:val="1E373452"/>
    <w:rsid w:val="1E4A0038"/>
    <w:rsid w:val="1E8B211B"/>
    <w:rsid w:val="1E917DAA"/>
    <w:rsid w:val="1EAC6FC0"/>
    <w:rsid w:val="1EC01569"/>
    <w:rsid w:val="1EDF11CD"/>
    <w:rsid w:val="1EE01851"/>
    <w:rsid w:val="1F4C5F8E"/>
    <w:rsid w:val="1F4C6A60"/>
    <w:rsid w:val="1F5F45F6"/>
    <w:rsid w:val="1F6D4BDC"/>
    <w:rsid w:val="1F6E44D2"/>
    <w:rsid w:val="1FD44AF3"/>
    <w:rsid w:val="1FF23782"/>
    <w:rsid w:val="20162717"/>
    <w:rsid w:val="20581546"/>
    <w:rsid w:val="20A124BD"/>
    <w:rsid w:val="20E92668"/>
    <w:rsid w:val="20EA64A4"/>
    <w:rsid w:val="20FC7DFE"/>
    <w:rsid w:val="21055489"/>
    <w:rsid w:val="21194890"/>
    <w:rsid w:val="2122760F"/>
    <w:rsid w:val="214C7C00"/>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EE11EF"/>
    <w:rsid w:val="24F01C1E"/>
    <w:rsid w:val="252E69F7"/>
    <w:rsid w:val="257C203E"/>
    <w:rsid w:val="258C074F"/>
    <w:rsid w:val="25EE2635"/>
    <w:rsid w:val="25F0208A"/>
    <w:rsid w:val="26025D3A"/>
    <w:rsid w:val="26417780"/>
    <w:rsid w:val="268417EF"/>
    <w:rsid w:val="268C5E25"/>
    <w:rsid w:val="26A541E9"/>
    <w:rsid w:val="26CE5DD7"/>
    <w:rsid w:val="270D5649"/>
    <w:rsid w:val="2714504D"/>
    <w:rsid w:val="27280F12"/>
    <w:rsid w:val="2737614D"/>
    <w:rsid w:val="277350CB"/>
    <w:rsid w:val="27805EFB"/>
    <w:rsid w:val="27DF258E"/>
    <w:rsid w:val="28071DA7"/>
    <w:rsid w:val="28360677"/>
    <w:rsid w:val="283913BE"/>
    <w:rsid w:val="28801DAF"/>
    <w:rsid w:val="28A8449C"/>
    <w:rsid w:val="28C248C5"/>
    <w:rsid w:val="29085CE3"/>
    <w:rsid w:val="295236BE"/>
    <w:rsid w:val="295E5289"/>
    <w:rsid w:val="29680155"/>
    <w:rsid w:val="29707129"/>
    <w:rsid w:val="29C244A8"/>
    <w:rsid w:val="29D821A5"/>
    <w:rsid w:val="29E62C14"/>
    <w:rsid w:val="2AE44AA2"/>
    <w:rsid w:val="2AF502EE"/>
    <w:rsid w:val="2B113DE4"/>
    <w:rsid w:val="2B384040"/>
    <w:rsid w:val="2B9E3DC9"/>
    <w:rsid w:val="2BAA4834"/>
    <w:rsid w:val="2BAD2E75"/>
    <w:rsid w:val="2BAF20A7"/>
    <w:rsid w:val="2BC83A75"/>
    <w:rsid w:val="2BD83532"/>
    <w:rsid w:val="2BDB10CE"/>
    <w:rsid w:val="2BEE4DC6"/>
    <w:rsid w:val="2C2A533E"/>
    <w:rsid w:val="2C424BBA"/>
    <w:rsid w:val="2C9A11D1"/>
    <w:rsid w:val="2CB46690"/>
    <w:rsid w:val="2CE33A79"/>
    <w:rsid w:val="2CE346C3"/>
    <w:rsid w:val="2CE90ED2"/>
    <w:rsid w:val="2CEC114E"/>
    <w:rsid w:val="2CF27F88"/>
    <w:rsid w:val="2D227DB9"/>
    <w:rsid w:val="2D425430"/>
    <w:rsid w:val="2D597235"/>
    <w:rsid w:val="2D78124C"/>
    <w:rsid w:val="2DC115AC"/>
    <w:rsid w:val="2DDB6FEC"/>
    <w:rsid w:val="2DE90567"/>
    <w:rsid w:val="2E04559A"/>
    <w:rsid w:val="2E12779E"/>
    <w:rsid w:val="2E251A45"/>
    <w:rsid w:val="2E4076B1"/>
    <w:rsid w:val="2E484F8A"/>
    <w:rsid w:val="2E4B2579"/>
    <w:rsid w:val="2ECD1C57"/>
    <w:rsid w:val="2ECE01E6"/>
    <w:rsid w:val="2FC43E60"/>
    <w:rsid w:val="2FD24B0B"/>
    <w:rsid w:val="30066B4C"/>
    <w:rsid w:val="303F6D0C"/>
    <w:rsid w:val="30750BB0"/>
    <w:rsid w:val="3159016F"/>
    <w:rsid w:val="31655D79"/>
    <w:rsid w:val="31735A7D"/>
    <w:rsid w:val="319054FC"/>
    <w:rsid w:val="31B203FE"/>
    <w:rsid w:val="31CC17DD"/>
    <w:rsid w:val="31F97FD8"/>
    <w:rsid w:val="32016C00"/>
    <w:rsid w:val="320B5870"/>
    <w:rsid w:val="32440235"/>
    <w:rsid w:val="3261333F"/>
    <w:rsid w:val="32835E71"/>
    <w:rsid w:val="32D46C27"/>
    <w:rsid w:val="32EE21B3"/>
    <w:rsid w:val="33092E4B"/>
    <w:rsid w:val="330F23DF"/>
    <w:rsid w:val="334A3DA1"/>
    <w:rsid w:val="33610ADB"/>
    <w:rsid w:val="3375179E"/>
    <w:rsid w:val="33B12035"/>
    <w:rsid w:val="33B63C32"/>
    <w:rsid w:val="33BA3EA4"/>
    <w:rsid w:val="34131012"/>
    <w:rsid w:val="34171487"/>
    <w:rsid w:val="342E2B39"/>
    <w:rsid w:val="343C4A89"/>
    <w:rsid w:val="343D7BFD"/>
    <w:rsid w:val="34460FFB"/>
    <w:rsid w:val="349614CB"/>
    <w:rsid w:val="34C51938"/>
    <w:rsid w:val="34DA608C"/>
    <w:rsid w:val="34DD7E01"/>
    <w:rsid w:val="350B3235"/>
    <w:rsid w:val="3514279B"/>
    <w:rsid w:val="351B1A28"/>
    <w:rsid w:val="35265E42"/>
    <w:rsid w:val="353815FD"/>
    <w:rsid w:val="353F02F3"/>
    <w:rsid w:val="357556C8"/>
    <w:rsid w:val="357D79D8"/>
    <w:rsid w:val="35825A1E"/>
    <w:rsid w:val="3590142B"/>
    <w:rsid w:val="359765C4"/>
    <w:rsid w:val="35BF3545"/>
    <w:rsid w:val="3610397A"/>
    <w:rsid w:val="3634678A"/>
    <w:rsid w:val="36383EE1"/>
    <w:rsid w:val="36527DCA"/>
    <w:rsid w:val="369345B2"/>
    <w:rsid w:val="370246D3"/>
    <w:rsid w:val="370E06BA"/>
    <w:rsid w:val="372A0359"/>
    <w:rsid w:val="37557342"/>
    <w:rsid w:val="37825166"/>
    <w:rsid w:val="37865704"/>
    <w:rsid w:val="37AA374C"/>
    <w:rsid w:val="38024E33"/>
    <w:rsid w:val="38076476"/>
    <w:rsid w:val="380C2DC6"/>
    <w:rsid w:val="3842120B"/>
    <w:rsid w:val="38CD1E1E"/>
    <w:rsid w:val="38D12AAE"/>
    <w:rsid w:val="38E878ED"/>
    <w:rsid w:val="391E51DB"/>
    <w:rsid w:val="39786BF2"/>
    <w:rsid w:val="39B73512"/>
    <w:rsid w:val="39BA7F61"/>
    <w:rsid w:val="39E214EC"/>
    <w:rsid w:val="3A04319F"/>
    <w:rsid w:val="3A270FB8"/>
    <w:rsid w:val="3A283C9D"/>
    <w:rsid w:val="3A355AA0"/>
    <w:rsid w:val="3A5F78FB"/>
    <w:rsid w:val="3A875EF9"/>
    <w:rsid w:val="3A9A5DA6"/>
    <w:rsid w:val="3AB14EB1"/>
    <w:rsid w:val="3AEE18AA"/>
    <w:rsid w:val="3B032819"/>
    <w:rsid w:val="3B0A2777"/>
    <w:rsid w:val="3B4548DF"/>
    <w:rsid w:val="3C17127B"/>
    <w:rsid w:val="3C197B04"/>
    <w:rsid w:val="3C28504A"/>
    <w:rsid w:val="3C5C0E29"/>
    <w:rsid w:val="3C8F53AF"/>
    <w:rsid w:val="3CA9417D"/>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7C0250"/>
    <w:rsid w:val="409F5D0B"/>
    <w:rsid w:val="40A25FF6"/>
    <w:rsid w:val="4145515D"/>
    <w:rsid w:val="416500CC"/>
    <w:rsid w:val="41843588"/>
    <w:rsid w:val="418E3FF7"/>
    <w:rsid w:val="41AD06CE"/>
    <w:rsid w:val="41BC6356"/>
    <w:rsid w:val="41C8325D"/>
    <w:rsid w:val="41F406CA"/>
    <w:rsid w:val="41F7672F"/>
    <w:rsid w:val="42054356"/>
    <w:rsid w:val="42663652"/>
    <w:rsid w:val="42C4415D"/>
    <w:rsid w:val="42EC1A85"/>
    <w:rsid w:val="43030F09"/>
    <w:rsid w:val="43462D95"/>
    <w:rsid w:val="43475F8D"/>
    <w:rsid w:val="436A5B87"/>
    <w:rsid w:val="43A2638A"/>
    <w:rsid w:val="43B17435"/>
    <w:rsid w:val="43D6618D"/>
    <w:rsid w:val="43FF401D"/>
    <w:rsid w:val="440033C7"/>
    <w:rsid w:val="44140F84"/>
    <w:rsid w:val="442D134F"/>
    <w:rsid w:val="443E7814"/>
    <w:rsid w:val="449A2059"/>
    <w:rsid w:val="44B0658B"/>
    <w:rsid w:val="44CD5A3F"/>
    <w:rsid w:val="44D516EE"/>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80E0A81"/>
    <w:rsid w:val="48333627"/>
    <w:rsid w:val="48490DA6"/>
    <w:rsid w:val="485E4D7E"/>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A5847"/>
    <w:rsid w:val="4AA3589F"/>
    <w:rsid w:val="4AD44E51"/>
    <w:rsid w:val="4ADE2AF8"/>
    <w:rsid w:val="4AEC78E8"/>
    <w:rsid w:val="4AFB32C5"/>
    <w:rsid w:val="4B905361"/>
    <w:rsid w:val="4B917BB9"/>
    <w:rsid w:val="4BA071F5"/>
    <w:rsid w:val="4BA4193C"/>
    <w:rsid w:val="4BE6156D"/>
    <w:rsid w:val="4BF03B16"/>
    <w:rsid w:val="4C153E89"/>
    <w:rsid w:val="4C3B412E"/>
    <w:rsid w:val="4C6620BC"/>
    <w:rsid w:val="4C664B02"/>
    <w:rsid w:val="4CAC3A92"/>
    <w:rsid w:val="4CC8688D"/>
    <w:rsid w:val="4CD76021"/>
    <w:rsid w:val="4D1C5ED8"/>
    <w:rsid w:val="4DA613A2"/>
    <w:rsid w:val="4DA85876"/>
    <w:rsid w:val="4DDE6C92"/>
    <w:rsid w:val="4DF11888"/>
    <w:rsid w:val="4DF6643F"/>
    <w:rsid w:val="4DFF215A"/>
    <w:rsid w:val="4E565EA6"/>
    <w:rsid w:val="4E5E19E4"/>
    <w:rsid w:val="4E764E55"/>
    <w:rsid w:val="4E990636"/>
    <w:rsid w:val="4F3B42D5"/>
    <w:rsid w:val="4F403077"/>
    <w:rsid w:val="4FAB4D2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D46736"/>
    <w:rsid w:val="52254821"/>
    <w:rsid w:val="523073D5"/>
    <w:rsid w:val="52735112"/>
    <w:rsid w:val="528D06DC"/>
    <w:rsid w:val="529E498E"/>
    <w:rsid w:val="52D617C8"/>
    <w:rsid w:val="52FE0DB8"/>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AE181F"/>
    <w:rsid w:val="55E0595B"/>
    <w:rsid w:val="56010107"/>
    <w:rsid w:val="5608147C"/>
    <w:rsid w:val="560B0A66"/>
    <w:rsid w:val="561E3D77"/>
    <w:rsid w:val="569620E6"/>
    <w:rsid w:val="569F1D2D"/>
    <w:rsid w:val="56A54DB1"/>
    <w:rsid w:val="56E35BB8"/>
    <w:rsid w:val="56E81E5B"/>
    <w:rsid w:val="56F9628E"/>
    <w:rsid w:val="56FA5717"/>
    <w:rsid w:val="57365F3B"/>
    <w:rsid w:val="57586B75"/>
    <w:rsid w:val="57B23D3F"/>
    <w:rsid w:val="57C71611"/>
    <w:rsid w:val="57CE5954"/>
    <w:rsid w:val="58240A08"/>
    <w:rsid w:val="583F18BE"/>
    <w:rsid w:val="584222E0"/>
    <w:rsid w:val="58435AD6"/>
    <w:rsid w:val="58621E13"/>
    <w:rsid w:val="586F0D80"/>
    <w:rsid w:val="58AA7C16"/>
    <w:rsid w:val="58B227FB"/>
    <w:rsid w:val="58B40BCA"/>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B0E7C47"/>
    <w:rsid w:val="5B117010"/>
    <w:rsid w:val="5B1A089C"/>
    <w:rsid w:val="5B2643D5"/>
    <w:rsid w:val="5B3F59D4"/>
    <w:rsid w:val="5B5432A8"/>
    <w:rsid w:val="5B554385"/>
    <w:rsid w:val="5B5C27E2"/>
    <w:rsid w:val="5B656411"/>
    <w:rsid w:val="5B9626CA"/>
    <w:rsid w:val="5BDC6801"/>
    <w:rsid w:val="5BE31DCA"/>
    <w:rsid w:val="5BF5091A"/>
    <w:rsid w:val="5C1E7A31"/>
    <w:rsid w:val="5C3404F6"/>
    <w:rsid w:val="5C937964"/>
    <w:rsid w:val="5CB30274"/>
    <w:rsid w:val="5CD27B13"/>
    <w:rsid w:val="5CD83212"/>
    <w:rsid w:val="5CEA6518"/>
    <w:rsid w:val="5D0535F0"/>
    <w:rsid w:val="5D0B2C58"/>
    <w:rsid w:val="5D1E31EF"/>
    <w:rsid w:val="5D481CEF"/>
    <w:rsid w:val="5D4A4276"/>
    <w:rsid w:val="5D4D32BD"/>
    <w:rsid w:val="5D5E0B52"/>
    <w:rsid w:val="5DD0072E"/>
    <w:rsid w:val="5DD83CB9"/>
    <w:rsid w:val="5DF50184"/>
    <w:rsid w:val="5DFC6CCB"/>
    <w:rsid w:val="5E1F4DEA"/>
    <w:rsid w:val="5EA51863"/>
    <w:rsid w:val="5EE7529C"/>
    <w:rsid w:val="5F3B26AA"/>
    <w:rsid w:val="5F417156"/>
    <w:rsid w:val="5F4B4BE4"/>
    <w:rsid w:val="5F625880"/>
    <w:rsid w:val="5FB14CFA"/>
    <w:rsid w:val="5FBF0852"/>
    <w:rsid w:val="5FC92450"/>
    <w:rsid w:val="5FD15E6D"/>
    <w:rsid w:val="600A7A52"/>
    <w:rsid w:val="602077B4"/>
    <w:rsid w:val="60225B1F"/>
    <w:rsid w:val="603B5186"/>
    <w:rsid w:val="60746053"/>
    <w:rsid w:val="60912456"/>
    <w:rsid w:val="609B762B"/>
    <w:rsid w:val="60EA4BBC"/>
    <w:rsid w:val="617A3F41"/>
    <w:rsid w:val="61C613E2"/>
    <w:rsid w:val="61CC6C53"/>
    <w:rsid w:val="620A7A2F"/>
    <w:rsid w:val="6210299D"/>
    <w:rsid w:val="62182EC6"/>
    <w:rsid w:val="621A37C8"/>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6CC0"/>
    <w:rsid w:val="6A9F5EAD"/>
    <w:rsid w:val="6AA04B46"/>
    <w:rsid w:val="6ACD410B"/>
    <w:rsid w:val="6AE03838"/>
    <w:rsid w:val="6AFB29E5"/>
    <w:rsid w:val="6B07227F"/>
    <w:rsid w:val="6B2B7E15"/>
    <w:rsid w:val="6B457993"/>
    <w:rsid w:val="6B722496"/>
    <w:rsid w:val="6B89131A"/>
    <w:rsid w:val="6B8F7565"/>
    <w:rsid w:val="6B961A5B"/>
    <w:rsid w:val="6B985891"/>
    <w:rsid w:val="6C0617E4"/>
    <w:rsid w:val="6C376E3F"/>
    <w:rsid w:val="6CAD12CC"/>
    <w:rsid w:val="6CB250F3"/>
    <w:rsid w:val="6CBF1A0D"/>
    <w:rsid w:val="6CC84898"/>
    <w:rsid w:val="6D074EAC"/>
    <w:rsid w:val="6D4B5A55"/>
    <w:rsid w:val="6D734E8A"/>
    <w:rsid w:val="6D7E533B"/>
    <w:rsid w:val="6DAF296E"/>
    <w:rsid w:val="6E120D2A"/>
    <w:rsid w:val="6E3E2D07"/>
    <w:rsid w:val="6E4D6901"/>
    <w:rsid w:val="6E906A8D"/>
    <w:rsid w:val="6E9B0DD8"/>
    <w:rsid w:val="6ED22F4B"/>
    <w:rsid w:val="6EDB54F5"/>
    <w:rsid w:val="6EE46197"/>
    <w:rsid w:val="6EEA3AFD"/>
    <w:rsid w:val="6F127145"/>
    <w:rsid w:val="6F243B76"/>
    <w:rsid w:val="6F4C72F5"/>
    <w:rsid w:val="6F7C1FEF"/>
    <w:rsid w:val="6FD54B20"/>
    <w:rsid w:val="70267678"/>
    <w:rsid w:val="704F5BB9"/>
    <w:rsid w:val="70880520"/>
    <w:rsid w:val="71015BE7"/>
    <w:rsid w:val="71570437"/>
    <w:rsid w:val="715F13CC"/>
    <w:rsid w:val="71A028DC"/>
    <w:rsid w:val="71E7354A"/>
    <w:rsid w:val="721065A7"/>
    <w:rsid w:val="72262F4F"/>
    <w:rsid w:val="72404167"/>
    <w:rsid w:val="726B46CA"/>
    <w:rsid w:val="72986C22"/>
    <w:rsid w:val="72B02B60"/>
    <w:rsid w:val="72DC2FC4"/>
    <w:rsid w:val="72FD6D11"/>
    <w:rsid w:val="73065251"/>
    <w:rsid w:val="731C2EFD"/>
    <w:rsid w:val="7361339E"/>
    <w:rsid w:val="73644F8E"/>
    <w:rsid w:val="737E2D1F"/>
    <w:rsid w:val="73874401"/>
    <w:rsid w:val="73986F17"/>
    <w:rsid w:val="741E15E9"/>
    <w:rsid w:val="74583100"/>
    <w:rsid w:val="75145C3D"/>
    <w:rsid w:val="751D0546"/>
    <w:rsid w:val="754D55BC"/>
    <w:rsid w:val="754F7F3F"/>
    <w:rsid w:val="759406CF"/>
    <w:rsid w:val="759A685A"/>
    <w:rsid w:val="75BE058E"/>
    <w:rsid w:val="76003B68"/>
    <w:rsid w:val="764A2175"/>
    <w:rsid w:val="76995DBC"/>
    <w:rsid w:val="769E46B1"/>
    <w:rsid w:val="76C1141F"/>
    <w:rsid w:val="76CB6B21"/>
    <w:rsid w:val="76D0411E"/>
    <w:rsid w:val="770C2128"/>
    <w:rsid w:val="774C41D4"/>
    <w:rsid w:val="774F1A24"/>
    <w:rsid w:val="775532E3"/>
    <w:rsid w:val="77585489"/>
    <w:rsid w:val="779D0A98"/>
    <w:rsid w:val="77A5337F"/>
    <w:rsid w:val="77B42F9B"/>
    <w:rsid w:val="77F97C45"/>
    <w:rsid w:val="781100F3"/>
    <w:rsid w:val="78280476"/>
    <w:rsid w:val="782B0ADA"/>
    <w:rsid w:val="7833231F"/>
    <w:rsid w:val="784E58D4"/>
    <w:rsid w:val="784E6AD9"/>
    <w:rsid w:val="78517809"/>
    <w:rsid w:val="785A5064"/>
    <w:rsid w:val="789606CD"/>
    <w:rsid w:val="789A5B12"/>
    <w:rsid w:val="78A10A6B"/>
    <w:rsid w:val="78DD4D40"/>
    <w:rsid w:val="79000C5D"/>
    <w:rsid w:val="795700DA"/>
    <w:rsid w:val="79755ECD"/>
    <w:rsid w:val="79A664CD"/>
    <w:rsid w:val="7A5B7707"/>
    <w:rsid w:val="7A766991"/>
    <w:rsid w:val="7AB16D5F"/>
    <w:rsid w:val="7AB820B2"/>
    <w:rsid w:val="7ACC35B0"/>
    <w:rsid w:val="7ADA7DA8"/>
    <w:rsid w:val="7AF74591"/>
    <w:rsid w:val="7B1150DA"/>
    <w:rsid w:val="7B4E6F79"/>
    <w:rsid w:val="7B515A8A"/>
    <w:rsid w:val="7B993AAA"/>
    <w:rsid w:val="7BB10732"/>
    <w:rsid w:val="7BB33137"/>
    <w:rsid w:val="7BCB51C4"/>
    <w:rsid w:val="7BF91849"/>
    <w:rsid w:val="7C1B4A50"/>
    <w:rsid w:val="7C5C6754"/>
    <w:rsid w:val="7C9D3270"/>
    <w:rsid w:val="7CA9484D"/>
    <w:rsid w:val="7CB4324F"/>
    <w:rsid w:val="7CC820DC"/>
    <w:rsid w:val="7CE365FC"/>
    <w:rsid w:val="7CF639DE"/>
    <w:rsid w:val="7D03683D"/>
    <w:rsid w:val="7D073A09"/>
    <w:rsid w:val="7D09181F"/>
    <w:rsid w:val="7D2D376E"/>
    <w:rsid w:val="7D4B0427"/>
    <w:rsid w:val="7D6B1BD1"/>
    <w:rsid w:val="7D852713"/>
    <w:rsid w:val="7DE66EE4"/>
    <w:rsid w:val="7DFD02BF"/>
    <w:rsid w:val="7E004D1D"/>
    <w:rsid w:val="7E0A657E"/>
    <w:rsid w:val="7E187E7B"/>
    <w:rsid w:val="7E4F25B6"/>
    <w:rsid w:val="7E800146"/>
    <w:rsid w:val="7ECA4153"/>
    <w:rsid w:val="7ECE329C"/>
    <w:rsid w:val="7EDE1639"/>
    <w:rsid w:val="7F196AB2"/>
    <w:rsid w:val="7F556DC5"/>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
    <w:link w:val="72"/>
    <w:qFormat/>
    <w:uiPriority w:val="0"/>
    <w:pPr>
      <w:spacing w:after="120"/>
    </w:pPr>
    <w:rPr>
      <w:szCs w:val="24"/>
    </w:rPr>
  </w:style>
  <w:style w:type="paragraph" w:styleId="14">
    <w:name w:val="Body Text Indent"/>
    <w:basedOn w:val="1"/>
    <w:link w:val="57"/>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67"/>
    <w:qFormat/>
    <w:uiPriority w:val="0"/>
    <w:rPr>
      <w:rFonts w:ascii="宋体" w:hAnsi="Courier New"/>
      <w:szCs w:val="21"/>
    </w:rPr>
  </w:style>
  <w:style w:type="paragraph" w:styleId="17">
    <w:name w:val="Balloon Text"/>
    <w:basedOn w:val="1"/>
    <w:link w:val="74"/>
    <w:unhideWhenUsed/>
    <w:qFormat/>
    <w:uiPriority w:val="99"/>
    <w:rPr>
      <w:sz w:val="18"/>
      <w:szCs w:val="18"/>
    </w:rPr>
  </w:style>
  <w:style w:type="paragraph" w:styleId="18">
    <w:name w:val="footer"/>
    <w:basedOn w:val="1"/>
    <w:link w:val="68"/>
    <w:unhideWhenUsed/>
    <w:qFormat/>
    <w:uiPriority w:val="99"/>
    <w:pPr>
      <w:tabs>
        <w:tab w:val="center" w:pos="4153"/>
        <w:tab w:val="right" w:pos="8306"/>
      </w:tabs>
      <w:snapToGrid w:val="0"/>
      <w:jc w:val="left"/>
    </w:pPr>
    <w:rPr>
      <w:sz w:val="18"/>
      <w:szCs w:val="18"/>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basedOn w:val="26"/>
    <w:qFormat/>
    <w:uiPriority w:val="20"/>
    <w:rPr>
      <w:i/>
    </w:rPr>
  </w:style>
  <w:style w:type="character" w:styleId="28">
    <w:name w:val="Hyperlink"/>
    <w:qFormat/>
    <w:uiPriority w:val="99"/>
    <w:rPr>
      <w:color w:val="0000FF"/>
      <w:u w:val="singl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0"/>
    <w:basedOn w:val="30"/>
    <w:next w:val="30"/>
    <w:unhideWhenUsed/>
    <w:qFormat/>
    <w:uiPriority w:val="99"/>
    <w:pPr>
      <w:spacing w:line="408" w:lineRule="atLeast"/>
    </w:pPr>
    <w:rPr>
      <w:rFonts w:hint="default"/>
    </w:rPr>
  </w:style>
  <w:style w:type="paragraph" w:customStyle="1" w:styleId="32">
    <w:name w:val="CM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Table Paragraph"/>
    <w:basedOn w:val="1"/>
    <w:qFormat/>
    <w:uiPriority w:val="1"/>
    <w:rPr>
      <w:rFonts w:ascii="宋体" w:hAnsi="宋体" w:cs="宋体"/>
      <w:lang w:val="zh-CN" w:bidi="zh-CN"/>
    </w:rPr>
  </w:style>
  <w:style w:type="paragraph" w:customStyle="1" w:styleId="35">
    <w:name w:val="List Paragraph"/>
    <w:basedOn w:val="1"/>
    <w:link w:val="62"/>
    <w:qFormat/>
    <w:uiPriority w:val="0"/>
    <w:pPr>
      <w:ind w:firstLine="420" w:firstLineChars="200"/>
    </w:pPr>
    <w:rPr>
      <w:szCs w:val="20"/>
    </w:rPr>
  </w:style>
  <w:style w:type="paragraph" w:customStyle="1" w:styleId="36">
    <w:name w:val="Char Char Char Char"/>
    <w:basedOn w:val="1"/>
    <w:qFormat/>
    <w:uiPriority w:val="0"/>
    <w:pPr>
      <w:widowControl/>
      <w:spacing w:after="160" w:line="240" w:lineRule="exact"/>
      <w:jc w:val="left"/>
    </w:pPr>
    <w:rPr>
      <w:szCs w:val="24"/>
    </w:rPr>
  </w:style>
  <w:style w:type="paragraph" w:customStyle="1" w:styleId="37">
    <w:name w:val="CM16"/>
    <w:basedOn w:val="30"/>
    <w:next w:val="30"/>
    <w:unhideWhenUsed/>
    <w:qFormat/>
    <w:uiPriority w:val="99"/>
    <w:pPr>
      <w:spacing w:line="411" w:lineRule="atLeast"/>
    </w:pPr>
    <w:rPr>
      <w:rFonts w:hint="default"/>
    </w:rPr>
  </w:style>
  <w:style w:type="paragraph" w:customStyle="1" w:styleId="38">
    <w:name w:val="CM13"/>
    <w:basedOn w:val="30"/>
    <w:next w:val="30"/>
    <w:unhideWhenUsed/>
    <w:qFormat/>
    <w:uiPriority w:val="99"/>
    <w:pPr>
      <w:spacing w:line="408" w:lineRule="atLeast"/>
    </w:pPr>
    <w:rPr>
      <w:rFonts w:hint="default"/>
    </w:rPr>
  </w:style>
  <w:style w:type="paragraph" w:customStyle="1" w:styleId="39">
    <w:name w:val="CM27"/>
    <w:basedOn w:val="30"/>
    <w:next w:val="30"/>
    <w:unhideWhenUsed/>
    <w:qFormat/>
    <w:uiPriority w:val="99"/>
    <w:pPr>
      <w:spacing w:line="411" w:lineRule="atLeast"/>
    </w:pPr>
    <w:rPr>
      <w:rFonts w:hint="default"/>
    </w:rPr>
  </w:style>
  <w:style w:type="paragraph" w:customStyle="1" w:styleId="40">
    <w:name w:val="文中正文"/>
    <w:basedOn w:val="1"/>
    <w:qFormat/>
    <w:uiPriority w:val="99"/>
    <w:pPr>
      <w:ind w:firstLine="640" w:firstLineChars="200"/>
    </w:pPr>
    <w:rPr>
      <w:rFonts w:eastAsia="方正楷体简体"/>
      <w:bCs/>
      <w:spacing w:val="20"/>
      <w:sz w:val="28"/>
      <w:szCs w:val="24"/>
    </w:rPr>
  </w:style>
  <w:style w:type="paragraph" w:customStyle="1" w:styleId="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2">
    <w:name w:val="CM5"/>
    <w:basedOn w:val="30"/>
    <w:next w:val="30"/>
    <w:unhideWhenUsed/>
    <w:qFormat/>
    <w:uiPriority w:val="99"/>
    <w:pPr>
      <w:spacing w:line="411" w:lineRule="atLeast"/>
    </w:pPr>
    <w:rPr>
      <w:rFonts w:hint="default"/>
    </w:rPr>
  </w:style>
  <w:style w:type="paragraph" w:customStyle="1" w:styleId="43">
    <w:name w:val="列出段落1"/>
    <w:basedOn w:val="1"/>
    <w:qFormat/>
    <w:uiPriority w:val="0"/>
    <w:pPr>
      <w:ind w:firstLine="420" w:firstLineChars="200"/>
    </w:p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p0"/>
    <w:basedOn w:val="1"/>
    <w:qFormat/>
    <w:uiPriority w:val="99"/>
    <w:pPr>
      <w:widowControl/>
      <w:jc w:val="left"/>
    </w:pPr>
    <w:rPr>
      <w:rFonts w:cs="宋体"/>
      <w:kern w:val="0"/>
      <w:szCs w:val="21"/>
    </w:rPr>
  </w:style>
  <w:style w:type="paragraph" w:customStyle="1" w:styleId="46">
    <w:name w:val="CM9"/>
    <w:basedOn w:val="30"/>
    <w:next w:val="30"/>
    <w:unhideWhenUsed/>
    <w:qFormat/>
    <w:uiPriority w:val="99"/>
    <w:pPr>
      <w:spacing w:line="408" w:lineRule="atLeast"/>
    </w:pPr>
    <w:rPr>
      <w:rFonts w:hint="default"/>
    </w:rPr>
  </w:style>
  <w:style w:type="paragraph" w:customStyle="1" w:styleId="47">
    <w:name w:val="CM8"/>
    <w:basedOn w:val="30"/>
    <w:next w:val="30"/>
    <w:unhideWhenUsed/>
    <w:qFormat/>
    <w:uiPriority w:val="99"/>
    <w:pPr>
      <w:spacing w:line="408" w:lineRule="atLeast"/>
    </w:pPr>
    <w:rPr>
      <w:rFonts w:hint="default"/>
    </w:rPr>
  </w:style>
  <w:style w:type="paragraph" w:customStyle="1" w:styleId="48">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9">
    <w:name w:val="大标题"/>
    <w:basedOn w:val="1"/>
    <w:qFormat/>
    <w:uiPriority w:val="99"/>
    <w:pPr>
      <w:spacing w:beforeLines="100" w:afterLines="50"/>
      <w:jc w:val="center"/>
    </w:pPr>
    <w:rPr>
      <w:rFonts w:eastAsia="方正魏碑简体"/>
      <w:bCs/>
      <w:spacing w:val="20"/>
      <w:sz w:val="72"/>
      <w:szCs w:val="24"/>
    </w:rPr>
  </w:style>
  <w:style w:type="paragraph" w:customStyle="1" w:styleId="50">
    <w:name w:val="_Style 4"/>
    <w:basedOn w:val="1"/>
    <w:qFormat/>
    <w:uiPriority w:val="34"/>
    <w:pPr>
      <w:ind w:firstLine="420" w:firstLineChars="200"/>
    </w:pPr>
  </w:style>
  <w:style w:type="paragraph" w:customStyle="1" w:styleId="51">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2">
    <w:name w:val="Body Text First Indent 2"/>
    <w:basedOn w:val="53"/>
    <w:qFormat/>
    <w:uiPriority w:val="0"/>
    <w:pPr>
      <w:ind w:firstLine="420" w:firstLineChars="200"/>
    </w:pPr>
    <w:rPr>
      <w:kern w:val="2"/>
      <w:sz w:val="21"/>
      <w:szCs w:val="24"/>
    </w:rPr>
  </w:style>
  <w:style w:type="paragraph" w:customStyle="1" w:styleId="53">
    <w:name w:val="Body Text Indent"/>
    <w:basedOn w:val="1"/>
    <w:qFormat/>
    <w:uiPriority w:val="0"/>
    <w:pPr>
      <w:spacing w:after="120" w:afterLines="0"/>
      <w:ind w:left="420" w:leftChars="200"/>
    </w:pPr>
    <w:rPr>
      <w:kern w:val="2"/>
      <w:sz w:val="21"/>
      <w:szCs w:val="24"/>
    </w:rPr>
  </w:style>
  <w:style w:type="paragraph" w:customStyle="1" w:styleId="54">
    <w:name w:val="Plain Text"/>
    <w:basedOn w:val="1"/>
    <w:qFormat/>
    <w:uiPriority w:val="0"/>
    <w:rPr>
      <w:rFonts w:ascii="宋体" w:hAnsi="Courier New" w:eastAsia="宋体" w:cs="Courier New"/>
      <w:kern w:val="2"/>
      <w:sz w:val="21"/>
      <w:szCs w:val="21"/>
      <w:lang w:val="en-US" w:eastAsia="zh-CN"/>
    </w:rPr>
  </w:style>
  <w:style w:type="paragraph" w:customStyle="1" w:styleId="55">
    <w:name w:val="纯文本 Char Char"/>
    <w:basedOn w:val="1"/>
    <w:qFormat/>
    <w:uiPriority w:val="0"/>
    <w:rPr>
      <w:rFonts w:ascii="宋体" w:hAnsi="Courier New" w:cs="Courier New"/>
      <w:szCs w:val="21"/>
    </w:rPr>
  </w:style>
  <w:style w:type="character" w:customStyle="1" w:styleId="56">
    <w:name w:val="标题 6 Char"/>
    <w:link w:val="7"/>
    <w:qFormat/>
    <w:uiPriority w:val="1"/>
    <w:rPr>
      <w:rFonts w:ascii="宋体" w:hAnsi="宋体" w:eastAsia="宋体" w:cs="宋体"/>
      <w:b/>
      <w:bCs/>
      <w:sz w:val="36"/>
      <w:szCs w:val="36"/>
      <w:lang w:val="zh-CN" w:eastAsia="zh-CN" w:bidi="zh-CN"/>
    </w:rPr>
  </w:style>
  <w:style w:type="character" w:customStyle="1" w:styleId="57">
    <w:name w:val="正文文本缩进 Char1"/>
    <w:link w:val="14"/>
    <w:qFormat/>
    <w:uiPriority w:val="0"/>
    <w:rPr>
      <w:kern w:val="2"/>
      <w:sz w:val="21"/>
      <w:szCs w:val="24"/>
    </w:rPr>
  </w:style>
  <w:style w:type="character" w:customStyle="1" w:styleId="58">
    <w:name w:val="标题 4 Char"/>
    <w:link w:val="6"/>
    <w:qFormat/>
    <w:uiPriority w:val="0"/>
    <w:rPr>
      <w:rFonts w:ascii="Arial" w:hAnsi="Arial" w:eastAsia="黑体"/>
      <w:b/>
      <w:sz w:val="28"/>
    </w:rPr>
  </w:style>
  <w:style w:type="character" w:customStyle="1" w:styleId="59">
    <w:name w:val="纯文本 Char"/>
    <w:qFormat/>
    <w:uiPriority w:val="0"/>
    <w:rPr>
      <w:rFonts w:ascii="宋体" w:hAnsi="Courier New" w:eastAsia="宋体" w:cs="Courier New"/>
      <w:kern w:val="2"/>
      <w:sz w:val="21"/>
      <w:szCs w:val="21"/>
    </w:rPr>
  </w:style>
  <w:style w:type="character" w:customStyle="1" w:styleId="60">
    <w:name w:val="font51"/>
    <w:basedOn w:val="26"/>
    <w:qFormat/>
    <w:uiPriority w:val="0"/>
    <w:rPr>
      <w:rFonts w:hint="eastAsia" w:ascii="宋体" w:hAnsi="宋体" w:eastAsia="宋体" w:cs="宋体"/>
      <w:color w:val="000000"/>
      <w:sz w:val="18"/>
      <w:szCs w:val="18"/>
      <w:u w:val="none"/>
    </w:rPr>
  </w:style>
  <w:style w:type="character" w:customStyle="1" w:styleId="61">
    <w:name w:val="font21"/>
    <w:basedOn w:val="26"/>
    <w:qFormat/>
    <w:uiPriority w:val="0"/>
    <w:rPr>
      <w:rFonts w:hint="eastAsia" w:ascii="黑体" w:hAnsi="宋体" w:eastAsia="黑体" w:cs="黑体"/>
      <w:b/>
      <w:color w:val="000000"/>
      <w:sz w:val="28"/>
      <w:szCs w:val="28"/>
      <w:u w:val="none"/>
    </w:rPr>
  </w:style>
  <w:style w:type="character" w:customStyle="1" w:styleId="62">
    <w:name w:val="列出段落 Char"/>
    <w:link w:val="35"/>
    <w:qFormat/>
    <w:locked/>
    <w:uiPriority w:val="0"/>
    <w:rPr>
      <w:rFonts w:ascii="Calibri" w:hAnsi="Calibri" w:eastAsia="宋体" w:cs="Times New Roman"/>
      <w:kern w:val="2"/>
      <w:sz w:val="21"/>
    </w:rPr>
  </w:style>
  <w:style w:type="character" w:customStyle="1" w:styleId="63">
    <w:name w:val="font01"/>
    <w:basedOn w:val="26"/>
    <w:qFormat/>
    <w:uiPriority w:val="0"/>
    <w:rPr>
      <w:rFonts w:ascii="Arial" w:hAnsi="Arial" w:cs="Arial"/>
      <w:b/>
      <w:color w:val="000000"/>
      <w:sz w:val="28"/>
      <w:szCs w:val="28"/>
      <w:u w:val="none"/>
    </w:rPr>
  </w:style>
  <w:style w:type="character" w:customStyle="1" w:styleId="64">
    <w:name w:val="标题 3 Char"/>
    <w:link w:val="5"/>
    <w:qFormat/>
    <w:uiPriority w:val="0"/>
    <w:rPr>
      <w:rFonts w:ascii="Calibri" w:hAnsi="Calibri" w:eastAsia="宋体" w:cs="Times New Roman"/>
      <w:b/>
      <w:bCs/>
      <w:kern w:val="2"/>
      <w:sz w:val="32"/>
      <w:szCs w:val="32"/>
    </w:rPr>
  </w:style>
  <w:style w:type="character" w:customStyle="1" w:styleId="65">
    <w:name w:val="页眉 Char"/>
    <w:link w:val="19"/>
    <w:qFormat/>
    <w:uiPriority w:val="99"/>
    <w:rPr>
      <w:rFonts w:eastAsia="宋体"/>
      <w:kern w:val="2"/>
      <w:sz w:val="18"/>
      <w:szCs w:val="18"/>
    </w:rPr>
  </w:style>
  <w:style w:type="character" w:customStyle="1" w:styleId="66">
    <w:name w:val="正文文本缩进 Char"/>
    <w:semiHidden/>
    <w:qFormat/>
    <w:uiPriority w:val="99"/>
    <w:rPr>
      <w:rFonts w:ascii="Calibri" w:hAnsi="Calibri" w:eastAsia="宋体" w:cs="Times New Roman"/>
      <w:kern w:val="2"/>
      <w:sz w:val="21"/>
    </w:rPr>
  </w:style>
  <w:style w:type="character" w:customStyle="1" w:styleId="67">
    <w:name w:val="纯文本 Char1"/>
    <w:link w:val="16"/>
    <w:qFormat/>
    <w:uiPriority w:val="0"/>
    <w:rPr>
      <w:rFonts w:ascii="宋体" w:hAnsi="Courier New" w:eastAsia="宋体" w:cs="Courier New"/>
      <w:kern w:val="2"/>
      <w:sz w:val="21"/>
      <w:szCs w:val="21"/>
    </w:rPr>
  </w:style>
  <w:style w:type="character" w:customStyle="1" w:styleId="68">
    <w:name w:val="页脚 Char1"/>
    <w:link w:val="18"/>
    <w:qFormat/>
    <w:uiPriority w:val="99"/>
    <w:rPr>
      <w:rFonts w:eastAsia="宋体"/>
      <w:kern w:val="2"/>
      <w:sz w:val="18"/>
      <w:szCs w:val="18"/>
    </w:rPr>
  </w:style>
  <w:style w:type="character" w:customStyle="1" w:styleId="69">
    <w:name w:val="font11"/>
    <w:basedOn w:val="26"/>
    <w:qFormat/>
    <w:uiPriority w:val="0"/>
    <w:rPr>
      <w:rFonts w:hint="eastAsia" w:ascii="宋体" w:hAnsi="宋体" w:eastAsia="宋体" w:cs="宋体"/>
      <w:color w:val="000000"/>
      <w:sz w:val="18"/>
      <w:szCs w:val="18"/>
      <w:u w:val="none"/>
    </w:rPr>
  </w:style>
  <w:style w:type="character" w:customStyle="1" w:styleId="70">
    <w:name w:val="font41"/>
    <w:basedOn w:val="26"/>
    <w:qFormat/>
    <w:uiPriority w:val="0"/>
    <w:rPr>
      <w:rFonts w:hint="default" w:ascii="Times New Roman" w:hAnsi="Times New Roman" w:cs="Times New Roman"/>
      <w:color w:val="000000"/>
      <w:sz w:val="18"/>
      <w:szCs w:val="18"/>
      <w:u w:val="none"/>
    </w:rPr>
  </w:style>
  <w:style w:type="character" w:customStyle="1" w:styleId="71">
    <w:name w:val="页脚 Char"/>
    <w:qFormat/>
    <w:uiPriority w:val="99"/>
    <w:rPr>
      <w:lang w:eastAsia="zh-CN"/>
    </w:rPr>
  </w:style>
  <w:style w:type="character" w:customStyle="1" w:styleId="72">
    <w:name w:val="正文文本 Char"/>
    <w:link w:val="13"/>
    <w:qFormat/>
    <w:uiPriority w:val="0"/>
    <w:rPr>
      <w:kern w:val="2"/>
      <w:sz w:val="21"/>
      <w:szCs w:val="24"/>
    </w:rPr>
  </w:style>
  <w:style w:type="character" w:customStyle="1" w:styleId="73">
    <w:name w:val="正文文本 Char1"/>
    <w:semiHidden/>
    <w:qFormat/>
    <w:uiPriority w:val="99"/>
    <w:rPr>
      <w:rFonts w:ascii="Calibri" w:hAnsi="Calibri" w:eastAsia="宋体" w:cs="Times New Roman"/>
      <w:kern w:val="2"/>
      <w:sz w:val="21"/>
    </w:rPr>
  </w:style>
  <w:style w:type="character" w:customStyle="1" w:styleId="74">
    <w:name w:val="批注框文本 Char"/>
    <w:link w:val="17"/>
    <w:semiHidden/>
    <w:qFormat/>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12</TotalTime>
  <ScaleCrop>false</ScaleCrop>
  <LinksUpToDate>false</LinksUpToDate>
  <CharactersWithSpaces>85087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hey</cp:lastModifiedBy>
  <cp:lastPrinted>2021-04-08T08:59:00Z</cp:lastPrinted>
  <dcterms:modified xsi:type="dcterms:W3CDTF">2021-06-23T07:34:14Z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23878488_btnclosed</vt:lpwstr>
  </property>
  <property fmtid="{D5CDD505-2E9C-101B-9397-08002B2CF9AE}" pid="4" name="ICV">
    <vt:lpwstr>BC30CDE6E7774372B8E91E9DFB7FAA01</vt:lpwstr>
  </property>
</Properties>
</file>