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仿宋_GB2312" w:eastAsia="仿宋_GB2312" w:cs="仿宋_GB2312"/>
          <w:b/>
          <w:bCs w:val="0"/>
          <w:color w:val="auto"/>
          <w:sz w:val="28"/>
          <w:szCs w:val="28"/>
          <w:highlight w:val="none"/>
          <w:u w:val="none"/>
          <w:lang w:val="en-US" w:eastAsia="zh-CN"/>
        </w:rPr>
      </w:pPr>
      <w:bookmarkStart w:id="0" w:name="_GoBack"/>
      <w:bookmarkEnd w:id="0"/>
      <w:r>
        <w:rPr>
          <w:rFonts w:hint="eastAsia" w:ascii="仿宋_GB2312" w:hAnsi="仿宋_GB2312" w:eastAsia="仿宋_GB2312" w:cs="仿宋_GB2312"/>
          <w:b/>
          <w:bCs w:val="0"/>
          <w:color w:val="auto"/>
          <w:sz w:val="28"/>
          <w:szCs w:val="28"/>
          <w:highlight w:val="none"/>
          <w:u w:val="none"/>
          <w:lang w:val="en-US" w:eastAsia="zh-CN"/>
        </w:rPr>
        <w:t>附表一</w:t>
      </w:r>
    </w:p>
    <w:p>
      <w:pPr>
        <w:pStyle w:val="2"/>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成都绕城高速公路独柱墩桥梁维修加固工程劳务合作项目</w:t>
      </w:r>
    </w:p>
    <w:p>
      <w:pPr>
        <w:pStyle w:val="2"/>
        <w:spacing w:line="360" w:lineRule="auto"/>
        <w:ind w:left="0" w:leftChars="0" w:firstLine="0" w:firstLineChars="0"/>
        <w:jc w:val="center"/>
        <w:rPr>
          <w:rFonts w:hint="eastAsia"/>
          <w:color w:val="auto"/>
          <w:highlight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分段划分、工程规模、工期表</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sz w:val="24"/>
          <w:szCs w:val="24"/>
          <w:highlight w:val="none"/>
          <w:lang w:val="en-US" w:eastAsia="zh-CN"/>
        </w:rPr>
      </w:pPr>
    </w:p>
    <w:tbl>
      <w:tblPr>
        <w:tblStyle w:val="15"/>
        <w:tblpPr w:leftFromText="180" w:rightFromText="180" w:vertAnchor="text" w:horzAnchor="page" w:tblpX="2256" w:tblpY="122"/>
        <w:tblOverlap w:val="never"/>
        <w:tblW w:w="0" w:type="auto"/>
        <w:tblInd w:w="0" w:type="dxa"/>
        <w:tblLayout w:type="fixed"/>
        <w:tblCellMar>
          <w:top w:w="0" w:type="dxa"/>
          <w:left w:w="0" w:type="dxa"/>
          <w:bottom w:w="0" w:type="dxa"/>
          <w:right w:w="0" w:type="dxa"/>
        </w:tblCellMar>
      </w:tblPr>
      <w:tblGrid>
        <w:gridCol w:w="617"/>
        <w:gridCol w:w="953"/>
        <w:gridCol w:w="885"/>
        <w:gridCol w:w="2596"/>
        <w:gridCol w:w="1633"/>
        <w:gridCol w:w="1385"/>
      </w:tblGrid>
      <w:tr>
        <w:tblPrEx>
          <w:tblCellMar>
            <w:top w:w="0" w:type="dxa"/>
            <w:left w:w="0" w:type="dxa"/>
            <w:bottom w:w="0" w:type="dxa"/>
            <w:right w:w="0" w:type="dxa"/>
          </w:tblCellMar>
        </w:tblPrEx>
        <w:trPr>
          <w:trHeight w:val="1020" w:hRule="atLeast"/>
          <w:tblHeader/>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名称</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墩</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个</w:t>
            </w:r>
            <w:r>
              <w:rPr>
                <w:rFonts w:hint="eastAsia" w:ascii="宋体" w:hAnsi="宋体" w:eastAsia="宋体" w:cs="宋体"/>
                <w:color w:val="auto"/>
                <w:kern w:val="0"/>
                <w:sz w:val="18"/>
                <w:szCs w:val="18"/>
                <w:highlight w:val="none"/>
                <w:lang w:bidi="ar"/>
              </w:rPr>
              <w:t>）</w:t>
            </w:r>
          </w:p>
        </w:tc>
        <w:tc>
          <w:tcPr>
            <w:tcW w:w="259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63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38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2385" w:hRule="atLeast"/>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2021-CX-01-绕东</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61</w:t>
            </w:r>
          </w:p>
        </w:tc>
        <w:tc>
          <w:tcPr>
            <w:tcW w:w="2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三河场立交A匝道桥，白鹤林立交A、B、C、D、E匝道桥,成龙立交D、F匝道桥，白家立交A、B、D、F、G、H匝道桥维修加固，包括增设钢盖梁、两侧加墩和防撞等的劳务合作。</w:t>
            </w:r>
          </w:p>
        </w:tc>
        <w:tc>
          <w:tcPr>
            <w:tcW w:w="1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个月</w:t>
            </w:r>
          </w:p>
        </w:tc>
        <w:tc>
          <w:tcPr>
            <w:tcW w:w="1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绕东段</w:t>
            </w:r>
          </w:p>
        </w:tc>
      </w:tr>
      <w:tr>
        <w:tblPrEx>
          <w:tblCellMar>
            <w:top w:w="0" w:type="dxa"/>
            <w:left w:w="0" w:type="dxa"/>
            <w:bottom w:w="0" w:type="dxa"/>
            <w:right w:w="0" w:type="dxa"/>
          </w:tblCellMar>
        </w:tblPrEx>
        <w:trPr>
          <w:trHeight w:val="2385" w:hRule="atLeast"/>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2021-CX-01-绕西</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30</w:t>
            </w:r>
          </w:p>
        </w:tc>
        <w:tc>
          <w:tcPr>
            <w:tcW w:w="2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文家立交B、D、E、F、G、H匝道桥，犀浦立交A、B、C、D、E、F、H匝道桥和K76+675金子坪分离式立交桥维修加固，包括增设钢盖梁、两侧加墩和防撞等的劳务合作。</w:t>
            </w:r>
          </w:p>
        </w:tc>
        <w:tc>
          <w:tcPr>
            <w:tcW w:w="1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个月</w:t>
            </w:r>
          </w:p>
        </w:tc>
        <w:tc>
          <w:tcPr>
            <w:tcW w:w="1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绕西段</w:t>
            </w: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二</w:t>
      </w:r>
    </w:p>
    <w:p>
      <w:pPr>
        <w:pStyle w:val="2"/>
        <w:rPr>
          <w:rFonts w:hint="eastAsia"/>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成都绕城高速公路独柱墩桥梁维修加固工程</w:t>
      </w:r>
      <w:r>
        <w:rPr>
          <w:rFonts w:hint="eastAsia" w:ascii="宋体" w:hAnsi="宋体" w:eastAsia="宋体" w:cs="宋体"/>
          <w:b/>
          <w:bCs/>
          <w:color w:val="auto"/>
          <w:w w:val="100"/>
          <w:kern w:val="0"/>
          <w:sz w:val="28"/>
          <w:szCs w:val="28"/>
          <w:highlight w:val="none"/>
          <w:u w:val="none"/>
          <w:lang w:val="en-US" w:eastAsia="zh-CN" w:bidi="ar-SA"/>
        </w:rPr>
        <w:t>劳务合作项目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2021-CX-01-绕东/2021-CX-01-绕西分段设备要求表</w:t>
      </w:r>
    </w:p>
    <w:tbl>
      <w:tblPr>
        <w:tblStyle w:val="1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noWrap w:val="0"/>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1742"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8"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挖掘机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260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85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装载机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3</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tabs>
                <w:tab w:val="left" w:pos="493"/>
              </w:tabs>
              <w:jc w:val="left"/>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ab/>
            </w:r>
            <w:r>
              <w:rPr>
                <w:rFonts w:hint="eastAsia" w:ascii="宋体" w:hAnsi="宋体" w:cs="宋体"/>
                <w:i w:val="0"/>
                <w:color w:val="auto"/>
                <w:kern w:val="0"/>
                <w:sz w:val="18"/>
                <w:szCs w:val="18"/>
                <w:highlight w:val="none"/>
                <w:u w:val="none"/>
                <w:lang w:val="en-US" w:eastAsia="zh-CN" w:bidi="ar"/>
              </w:rPr>
              <w:t>登高车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自卸汽车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20T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吊车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25T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rPr>
          <w:rStyle w:val="22"/>
          <w:rFonts w:hint="eastAsia"/>
          <w:b w:val="0"/>
          <w:bCs/>
          <w:color w:val="auto"/>
          <w:sz w:val="18"/>
          <w:szCs w:val="18"/>
          <w:highlight w:val="none"/>
          <w:u w:val="none"/>
          <w:lang w:val="en-US" w:eastAsia="zh-CN" w:bidi="ar"/>
        </w:rPr>
      </w:pPr>
      <w:r>
        <w:rPr>
          <w:rStyle w:val="22"/>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numPr>
          <w:ilvl w:val="0"/>
          <w:numId w:val="1"/>
        </w:numPr>
        <w:tabs>
          <w:tab w:val="left" w:pos="416"/>
        </w:tabs>
        <w:autoSpaceDE w:val="0"/>
        <w:autoSpaceDN w:val="0"/>
        <w:spacing w:before="122" w:line="360" w:lineRule="auto"/>
        <w:ind w:left="100"/>
        <w:rPr>
          <w:rStyle w:val="22"/>
          <w:rFonts w:hint="eastAsia"/>
          <w:b w:val="0"/>
          <w:bCs/>
          <w:color w:val="auto"/>
          <w:sz w:val="18"/>
          <w:szCs w:val="18"/>
          <w:highlight w:val="none"/>
          <w:u w:val="none"/>
          <w:lang w:val="en-US" w:eastAsia="zh-CN" w:bidi="ar"/>
        </w:rPr>
      </w:pPr>
      <w:r>
        <w:rPr>
          <w:rStyle w:val="22"/>
          <w:rFonts w:hint="eastAsia"/>
          <w:b w:val="0"/>
          <w:bCs/>
          <w:color w:val="auto"/>
          <w:sz w:val="18"/>
          <w:szCs w:val="18"/>
          <w:highlight w:val="none"/>
          <w:u w:val="none"/>
          <w:lang w:val="en-US" w:eastAsia="zh-CN" w:bidi="ar"/>
        </w:rPr>
        <w:t>本表中的总数量为乙方中标后向甲方承诺的投入最低设备要求。</w:t>
      </w: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rPr>
          <w:rStyle w:val="22"/>
          <w:rFonts w:hint="eastAsia"/>
          <w:b/>
          <w:bCs/>
          <w:color w:val="auto"/>
          <w:sz w:val="22"/>
          <w:szCs w:val="22"/>
          <w:highlight w:val="none"/>
          <w:u w:val="none"/>
          <w:lang w:val="en-US" w:eastAsia="zh-CN" w:bidi="ar"/>
        </w:rPr>
      </w:pPr>
      <w:r>
        <w:rPr>
          <w:rStyle w:val="22"/>
          <w:rFonts w:hint="eastAsia"/>
          <w:b/>
          <w:bCs/>
          <w:color w:val="auto"/>
          <w:sz w:val="22"/>
          <w:szCs w:val="22"/>
          <w:highlight w:val="none"/>
          <w:u w:val="none"/>
          <w:lang w:val="en-US" w:eastAsia="zh-CN" w:bidi="ar"/>
        </w:rPr>
        <w:br w:type="page"/>
      </w:r>
    </w:p>
    <w:p>
      <w:pPr>
        <w:jc w:val="left"/>
        <w:rPr>
          <w:rStyle w:val="22"/>
          <w:rFonts w:hint="default"/>
          <w:b/>
          <w:bCs/>
          <w:color w:val="auto"/>
          <w:sz w:val="22"/>
          <w:szCs w:val="22"/>
          <w:highlight w:val="none"/>
          <w:u w:val="none"/>
          <w:lang w:val="en-US" w:eastAsia="zh-CN" w:bidi="ar"/>
        </w:rPr>
      </w:pPr>
      <w:r>
        <w:rPr>
          <w:rStyle w:val="22"/>
          <w:rFonts w:hint="eastAsia"/>
          <w:b/>
          <w:bCs/>
          <w:color w:val="auto"/>
          <w:sz w:val="22"/>
          <w:szCs w:val="22"/>
          <w:highlight w:val="none"/>
          <w:u w:val="none"/>
          <w:lang w:val="en-US" w:eastAsia="zh-CN" w:bidi="ar"/>
        </w:rPr>
        <w:t>附表三</w:t>
      </w:r>
    </w:p>
    <w:p>
      <w:pPr>
        <w:pStyle w:val="2"/>
        <w:rPr>
          <w:rFonts w:hint="eastAsia"/>
          <w:lang w:val="en-US" w:eastAsia="zh-CN"/>
        </w:rPr>
      </w:pPr>
    </w:p>
    <w:tbl>
      <w:tblPr>
        <w:tblStyle w:val="15"/>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成都绕城高速公路独柱墩桥梁维修加固工程</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2021-CX-01-绕东/2021-CX-01-绕西分段人员要求表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2、如因投标人的原因(除不可抗拒因素外)更换上述主要人员，须报请招标人批准，更换人员的资质不能低于招标文件要求，自行更换主要负责人的，对投标人按每人次扣以50万元人民币违约金。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0"/>
        <w:tabs>
          <w:tab w:val="right" w:leader="dot" w:pos="8306"/>
        </w:tabs>
        <w:jc w:val="both"/>
        <w:rPr>
          <w:rFonts w:ascii="等线" w:hAnsi="等线" w:eastAsia="等线" w:cs="等线"/>
          <w:b/>
          <w:bCs/>
          <w:color w:val="auto"/>
          <w:sz w:val="44"/>
          <w:szCs w:val="44"/>
          <w:highlight w:val="none"/>
          <w:lang w:bidi="zh-CN"/>
        </w:rPr>
      </w:pPr>
    </w:p>
    <w:p>
      <w:pPr>
        <w:pStyle w:val="20"/>
        <w:tabs>
          <w:tab w:val="right" w:leader="dot" w:pos="8306"/>
        </w:tabs>
        <w:jc w:val="both"/>
        <w:rPr>
          <w:rFonts w:ascii="等线" w:hAnsi="等线" w:eastAsia="等线" w:cs="等线"/>
          <w:b/>
          <w:bCs/>
          <w:color w:val="auto"/>
          <w:sz w:val="44"/>
          <w:szCs w:val="44"/>
          <w:highlight w:val="none"/>
          <w:lang w:bidi="zh-CN"/>
        </w:rPr>
      </w:pPr>
    </w:p>
    <w:p>
      <w:pPr>
        <w:jc w:val="left"/>
        <w:rPr>
          <w:rStyle w:val="22"/>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E8A8D"/>
    <w:multiLevelType w:val="singleLevel"/>
    <w:tmpl w:val="B0FE8A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343D48"/>
    <w:rsid w:val="009B12C4"/>
    <w:rsid w:val="01F62437"/>
    <w:rsid w:val="029F0BDF"/>
    <w:rsid w:val="02F36BB9"/>
    <w:rsid w:val="03724511"/>
    <w:rsid w:val="039A66B9"/>
    <w:rsid w:val="044153DC"/>
    <w:rsid w:val="050B0EC8"/>
    <w:rsid w:val="05BC6E66"/>
    <w:rsid w:val="06972D26"/>
    <w:rsid w:val="07F660B0"/>
    <w:rsid w:val="08324929"/>
    <w:rsid w:val="08891F7D"/>
    <w:rsid w:val="08E30999"/>
    <w:rsid w:val="0913688A"/>
    <w:rsid w:val="09455B44"/>
    <w:rsid w:val="09AD4AA6"/>
    <w:rsid w:val="0A5033EA"/>
    <w:rsid w:val="0A5A4B79"/>
    <w:rsid w:val="0A601AF4"/>
    <w:rsid w:val="0B0F28A9"/>
    <w:rsid w:val="0B5455A6"/>
    <w:rsid w:val="0B753032"/>
    <w:rsid w:val="0B891FE2"/>
    <w:rsid w:val="0B991271"/>
    <w:rsid w:val="0BA924DA"/>
    <w:rsid w:val="0BD27243"/>
    <w:rsid w:val="0C435020"/>
    <w:rsid w:val="0C4E22E9"/>
    <w:rsid w:val="0CCF7D76"/>
    <w:rsid w:val="0E2F2B48"/>
    <w:rsid w:val="0E7D493C"/>
    <w:rsid w:val="0F581439"/>
    <w:rsid w:val="0F6860EC"/>
    <w:rsid w:val="0F9F7060"/>
    <w:rsid w:val="0FCE6B99"/>
    <w:rsid w:val="100474B1"/>
    <w:rsid w:val="10144394"/>
    <w:rsid w:val="104E4D2B"/>
    <w:rsid w:val="109E5293"/>
    <w:rsid w:val="11D90063"/>
    <w:rsid w:val="12F60699"/>
    <w:rsid w:val="15A33A75"/>
    <w:rsid w:val="15A80B94"/>
    <w:rsid w:val="15CF4B09"/>
    <w:rsid w:val="15D45FBF"/>
    <w:rsid w:val="16370C2C"/>
    <w:rsid w:val="18C95BFE"/>
    <w:rsid w:val="19501FCD"/>
    <w:rsid w:val="195A0C14"/>
    <w:rsid w:val="19BC7BD0"/>
    <w:rsid w:val="1A5C76BA"/>
    <w:rsid w:val="1ADC068B"/>
    <w:rsid w:val="1B7342A9"/>
    <w:rsid w:val="1BA112B9"/>
    <w:rsid w:val="1CCB016B"/>
    <w:rsid w:val="1DF37DFA"/>
    <w:rsid w:val="1E9B719D"/>
    <w:rsid w:val="1F291F3C"/>
    <w:rsid w:val="1F3A4319"/>
    <w:rsid w:val="1F6B4BFB"/>
    <w:rsid w:val="1F9306F4"/>
    <w:rsid w:val="20602D80"/>
    <w:rsid w:val="20A17C13"/>
    <w:rsid w:val="20C53399"/>
    <w:rsid w:val="21BE14DE"/>
    <w:rsid w:val="21C97396"/>
    <w:rsid w:val="223D66AF"/>
    <w:rsid w:val="22900340"/>
    <w:rsid w:val="236E2906"/>
    <w:rsid w:val="236F25C3"/>
    <w:rsid w:val="23A167F7"/>
    <w:rsid w:val="23AA10B0"/>
    <w:rsid w:val="241D5966"/>
    <w:rsid w:val="24BB1332"/>
    <w:rsid w:val="24F94B95"/>
    <w:rsid w:val="25073037"/>
    <w:rsid w:val="25FF4FDC"/>
    <w:rsid w:val="26105A24"/>
    <w:rsid w:val="26CC3F25"/>
    <w:rsid w:val="278074A1"/>
    <w:rsid w:val="27C8356C"/>
    <w:rsid w:val="289F5324"/>
    <w:rsid w:val="291551B7"/>
    <w:rsid w:val="2A195ECB"/>
    <w:rsid w:val="2B8C545E"/>
    <w:rsid w:val="2C3201A6"/>
    <w:rsid w:val="2C824972"/>
    <w:rsid w:val="2CE01537"/>
    <w:rsid w:val="2D947467"/>
    <w:rsid w:val="2E331B97"/>
    <w:rsid w:val="2E740628"/>
    <w:rsid w:val="2E837660"/>
    <w:rsid w:val="2E9D083E"/>
    <w:rsid w:val="2EAA77DA"/>
    <w:rsid w:val="2EB26D35"/>
    <w:rsid w:val="2EBC3BCD"/>
    <w:rsid w:val="2EDA06D1"/>
    <w:rsid w:val="2EE66DA1"/>
    <w:rsid w:val="30075453"/>
    <w:rsid w:val="30976160"/>
    <w:rsid w:val="30CE2A07"/>
    <w:rsid w:val="31B6771F"/>
    <w:rsid w:val="31F27638"/>
    <w:rsid w:val="325C03ED"/>
    <w:rsid w:val="32741064"/>
    <w:rsid w:val="32DB03AE"/>
    <w:rsid w:val="33545079"/>
    <w:rsid w:val="339A2073"/>
    <w:rsid w:val="342A5F28"/>
    <w:rsid w:val="34311BB5"/>
    <w:rsid w:val="34436B87"/>
    <w:rsid w:val="34607A3F"/>
    <w:rsid w:val="348B44F6"/>
    <w:rsid w:val="35553321"/>
    <w:rsid w:val="35921A02"/>
    <w:rsid w:val="35A63EE7"/>
    <w:rsid w:val="36452C44"/>
    <w:rsid w:val="37D5352F"/>
    <w:rsid w:val="38E25BE4"/>
    <w:rsid w:val="393D02C4"/>
    <w:rsid w:val="395C1C4A"/>
    <w:rsid w:val="3A180D3E"/>
    <w:rsid w:val="3A8E7911"/>
    <w:rsid w:val="3B7F1D6B"/>
    <w:rsid w:val="3BF45A48"/>
    <w:rsid w:val="3C4E25B5"/>
    <w:rsid w:val="3C5C5D88"/>
    <w:rsid w:val="3CA06F6B"/>
    <w:rsid w:val="3DD05FB6"/>
    <w:rsid w:val="3E1C2E52"/>
    <w:rsid w:val="3E320AB0"/>
    <w:rsid w:val="3E36438D"/>
    <w:rsid w:val="3E5D5FDF"/>
    <w:rsid w:val="3E972502"/>
    <w:rsid w:val="3F026478"/>
    <w:rsid w:val="401B4839"/>
    <w:rsid w:val="405D5CCE"/>
    <w:rsid w:val="40834CCE"/>
    <w:rsid w:val="415D7AEB"/>
    <w:rsid w:val="416309A2"/>
    <w:rsid w:val="4205452B"/>
    <w:rsid w:val="422873DB"/>
    <w:rsid w:val="4304594A"/>
    <w:rsid w:val="43C05F1E"/>
    <w:rsid w:val="43FE1B06"/>
    <w:rsid w:val="44C71CED"/>
    <w:rsid w:val="459C0B02"/>
    <w:rsid w:val="45E511AF"/>
    <w:rsid w:val="46113505"/>
    <w:rsid w:val="463A130C"/>
    <w:rsid w:val="465D008B"/>
    <w:rsid w:val="46C81B47"/>
    <w:rsid w:val="46F456A7"/>
    <w:rsid w:val="46FF3BA9"/>
    <w:rsid w:val="47433D54"/>
    <w:rsid w:val="47CA7CD2"/>
    <w:rsid w:val="47FB114A"/>
    <w:rsid w:val="49E51AEA"/>
    <w:rsid w:val="49F95EBE"/>
    <w:rsid w:val="4A462E88"/>
    <w:rsid w:val="4A844544"/>
    <w:rsid w:val="4ADE3AC3"/>
    <w:rsid w:val="4B7B703E"/>
    <w:rsid w:val="4BAD7629"/>
    <w:rsid w:val="4C3D794C"/>
    <w:rsid w:val="4D285129"/>
    <w:rsid w:val="4D366E35"/>
    <w:rsid w:val="4DB12F74"/>
    <w:rsid w:val="4E133190"/>
    <w:rsid w:val="4E5B27FF"/>
    <w:rsid w:val="4ECA7F19"/>
    <w:rsid w:val="4F40027A"/>
    <w:rsid w:val="4FDA01BE"/>
    <w:rsid w:val="50E45A49"/>
    <w:rsid w:val="50FA206F"/>
    <w:rsid w:val="516D409C"/>
    <w:rsid w:val="5175120E"/>
    <w:rsid w:val="51916A7A"/>
    <w:rsid w:val="51F72BF9"/>
    <w:rsid w:val="521E0D27"/>
    <w:rsid w:val="52637D61"/>
    <w:rsid w:val="52E31AA5"/>
    <w:rsid w:val="53DF10F7"/>
    <w:rsid w:val="54427B77"/>
    <w:rsid w:val="54A7540F"/>
    <w:rsid w:val="54D47567"/>
    <w:rsid w:val="557E7D89"/>
    <w:rsid w:val="557F74C3"/>
    <w:rsid w:val="55F821DF"/>
    <w:rsid w:val="56D436DF"/>
    <w:rsid w:val="56E2375B"/>
    <w:rsid w:val="57365758"/>
    <w:rsid w:val="573A64ED"/>
    <w:rsid w:val="57B11C8D"/>
    <w:rsid w:val="58F93E01"/>
    <w:rsid w:val="590D63E7"/>
    <w:rsid w:val="590F09AC"/>
    <w:rsid w:val="5A131428"/>
    <w:rsid w:val="5A971F2E"/>
    <w:rsid w:val="5AAA35BF"/>
    <w:rsid w:val="5ABE45A5"/>
    <w:rsid w:val="5AF47196"/>
    <w:rsid w:val="5B83040B"/>
    <w:rsid w:val="5BB800C6"/>
    <w:rsid w:val="5C577DF2"/>
    <w:rsid w:val="5CAC5023"/>
    <w:rsid w:val="5CD07BF9"/>
    <w:rsid w:val="5D2C7E85"/>
    <w:rsid w:val="5DD5795B"/>
    <w:rsid w:val="5DED4ECE"/>
    <w:rsid w:val="5E0B4087"/>
    <w:rsid w:val="5E8D0E00"/>
    <w:rsid w:val="5FBF192C"/>
    <w:rsid w:val="5FD230CB"/>
    <w:rsid w:val="60901A89"/>
    <w:rsid w:val="609D42E0"/>
    <w:rsid w:val="60C85161"/>
    <w:rsid w:val="61D230CA"/>
    <w:rsid w:val="622904E0"/>
    <w:rsid w:val="62492337"/>
    <w:rsid w:val="626E0FDE"/>
    <w:rsid w:val="62F138FF"/>
    <w:rsid w:val="632633EF"/>
    <w:rsid w:val="633B553C"/>
    <w:rsid w:val="63452A49"/>
    <w:rsid w:val="6355667B"/>
    <w:rsid w:val="63AD6DFA"/>
    <w:rsid w:val="640356F9"/>
    <w:rsid w:val="64247493"/>
    <w:rsid w:val="6470224E"/>
    <w:rsid w:val="64DB7FF2"/>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2B2095"/>
    <w:rsid w:val="68501E37"/>
    <w:rsid w:val="697D0D08"/>
    <w:rsid w:val="697F0B59"/>
    <w:rsid w:val="69845157"/>
    <w:rsid w:val="699830D3"/>
    <w:rsid w:val="69C72B32"/>
    <w:rsid w:val="69F0105B"/>
    <w:rsid w:val="6A256381"/>
    <w:rsid w:val="6AAE40FB"/>
    <w:rsid w:val="6B6B072C"/>
    <w:rsid w:val="6BFA5ECE"/>
    <w:rsid w:val="6C71494C"/>
    <w:rsid w:val="6CAF4FEF"/>
    <w:rsid w:val="6CF12BBF"/>
    <w:rsid w:val="6D6324FB"/>
    <w:rsid w:val="6DCC1519"/>
    <w:rsid w:val="6DED29E1"/>
    <w:rsid w:val="6E5E60C9"/>
    <w:rsid w:val="6F1F0010"/>
    <w:rsid w:val="6F7E5E46"/>
    <w:rsid w:val="6FEE18C9"/>
    <w:rsid w:val="701A23EA"/>
    <w:rsid w:val="7156685C"/>
    <w:rsid w:val="71870602"/>
    <w:rsid w:val="71C179F2"/>
    <w:rsid w:val="71FE4C17"/>
    <w:rsid w:val="726B38D2"/>
    <w:rsid w:val="72705681"/>
    <w:rsid w:val="72E22B87"/>
    <w:rsid w:val="73012309"/>
    <w:rsid w:val="73B9714D"/>
    <w:rsid w:val="74291F81"/>
    <w:rsid w:val="743D65AD"/>
    <w:rsid w:val="748A24B9"/>
    <w:rsid w:val="748E6270"/>
    <w:rsid w:val="74AF78D9"/>
    <w:rsid w:val="75443094"/>
    <w:rsid w:val="75FA05EA"/>
    <w:rsid w:val="76F9201E"/>
    <w:rsid w:val="77387271"/>
    <w:rsid w:val="778618BA"/>
    <w:rsid w:val="77A64A70"/>
    <w:rsid w:val="7A5658A3"/>
    <w:rsid w:val="7BD859F4"/>
    <w:rsid w:val="7C504B7D"/>
    <w:rsid w:val="7C933E96"/>
    <w:rsid w:val="7CF73115"/>
    <w:rsid w:val="7CF855C3"/>
    <w:rsid w:val="7D34255F"/>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10">
    <w:name w:val="Body Text"/>
    <w:basedOn w:val="1"/>
    <w:next w:val="1"/>
    <w:qFormat/>
    <w:uiPriority w:val="0"/>
    <w:pPr>
      <w:spacing w:after="120"/>
    </w:pPr>
    <w:rPr>
      <w:szCs w:val="24"/>
    </w:r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800080"/>
      <w:u w:val="single"/>
    </w:rPr>
  </w:style>
  <w:style w:type="character" w:styleId="19">
    <w:name w:val="Hyperlink"/>
    <w:basedOn w:val="17"/>
    <w:qFormat/>
    <w:uiPriority w:val="0"/>
    <w:rPr>
      <w:color w:val="0000FF"/>
      <w:u w:val="singl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p0"/>
    <w:basedOn w:val="1"/>
    <w:qFormat/>
    <w:uiPriority w:val="99"/>
    <w:pPr>
      <w:widowControl/>
      <w:jc w:val="left"/>
    </w:pPr>
    <w:rPr>
      <w:rFonts w:cs="宋体"/>
      <w:kern w:val="0"/>
      <w:szCs w:val="21"/>
    </w:rPr>
  </w:style>
  <w:style w:type="character" w:customStyle="1" w:styleId="22">
    <w:name w:val="font11"/>
    <w:basedOn w:val="17"/>
    <w:qFormat/>
    <w:uiPriority w:val="0"/>
    <w:rPr>
      <w:rFonts w:hint="eastAsia" w:ascii="宋体" w:hAnsi="宋体" w:eastAsia="宋体" w:cs="宋体"/>
      <w:color w:val="000000"/>
      <w:sz w:val="18"/>
      <w:szCs w:val="18"/>
      <w:u w:val="none"/>
    </w:rPr>
  </w:style>
  <w:style w:type="paragraph" w:customStyle="1" w:styleId="23">
    <w:name w:val="Table Paragraph"/>
    <w:basedOn w:val="1"/>
    <w:qFormat/>
    <w:uiPriority w:val="1"/>
    <w:rPr>
      <w:rFonts w:ascii="宋体" w:hAnsi="宋体" w:cs="宋体"/>
      <w:lang w:val="zh-CN" w:bidi="zh-CN"/>
    </w:rPr>
  </w:style>
  <w:style w:type="paragraph" w:customStyle="1" w:styleId="24">
    <w:name w:val="列出段落1"/>
    <w:basedOn w:val="1"/>
    <w:qFormat/>
    <w:uiPriority w:val="0"/>
    <w:pPr>
      <w:ind w:firstLine="420" w:firstLineChars="200"/>
    </w:pPr>
  </w:style>
  <w:style w:type="paragraph" w:customStyle="1" w:styleId="25">
    <w:name w:val="List Paragraph"/>
    <w:basedOn w:val="1"/>
    <w:qFormat/>
    <w:uiPriority w:val="0"/>
    <w:pPr>
      <w:ind w:firstLine="420" w:firstLineChars="200"/>
    </w:pPr>
    <w:rPr>
      <w:szCs w:val="20"/>
    </w:rPr>
  </w:style>
  <w:style w:type="paragraph" w:customStyle="1" w:styleId="26">
    <w:name w:val="文中正文"/>
    <w:basedOn w:val="1"/>
    <w:qFormat/>
    <w:uiPriority w:val="99"/>
    <w:pPr>
      <w:ind w:firstLine="640" w:firstLineChars="200"/>
    </w:pPr>
    <w:rPr>
      <w:rFonts w:eastAsia="方正楷体简体"/>
      <w:bCs/>
      <w:spacing w:val="20"/>
      <w:sz w:val="28"/>
      <w:szCs w:val="24"/>
    </w:rPr>
  </w:style>
  <w:style w:type="paragraph" w:customStyle="1" w:styleId="27">
    <w:name w:val="大标题"/>
    <w:basedOn w:val="1"/>
    <w:qFormat/>
    <w:uiPriority w:val="99"/>
    <w:pPr>
      <w:spacing w:beforeLines="100" w:afterLines="50"/>
      <w:jc w:val="center"/>
    </w:pPr>
    <w:rPr>
      <w:rFonts w:eastAsia="方正魏碑简体"/>
      <w:bCs/>
      <w:spacing w:val="20"/>
      <w:sz w:val="72"/>
      <w:szCs w:val="24"/>
    </w:rPr>
  </w:style>
  <w:style w:type="character" w:customStyle="1" w:styleId="28">
    <w:name w:val="font71"/>
    <w:basedOn w:val="17"/>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2021-05-10T06:32:00Z</cp:lastPrinted>
  <dcterms:modified xsi:type="dcterms:W3CDTF">2021-05-28T03:48:40Z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72162D62761A4A7AB05906DEFBA43A5F</vt:lpwstr>
  </property>
  <property fmtid="{D5CDD505-2E9C-101B-9397-08002B2CF9AE}" pid="4" name="KSOSaveFontToCloudKey">
    <vt:lpwstr>274278490_btnclosed</vt:lpwstr>
  </property>
</Properties>
</file>