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color w:val="auto"/>
          <w:sz w:val="28"/>
          <w:szCs w:val="28"/>
          <w:highlight w:val="none"/>
        </w:rPr>
      </w:pPr>
      <w:r>
        <w:rPr>
          <w:rFonts w:hint="eastAsia" w:ascii="宋体" w:hAnsi="宋体" w:cs="宋体"/>
          <w:b/>
          <w:sz w:val="28"/>
          <w:szCs w:val="28"/>
          <w:highlight w:val="none"/>
        </w:rPr>
        <w:t>附表一</w:t>
      </w: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rPr>
        <w:t>G</w:t>
      </w:r>
      <w:r>
        <w:rPr>
          <w:rFonts w:cs="仿宋"/>
          <w:b/>
          <w:bCs/>
          <w:color w:val="auto"/>
          <w:sz w:val="32"/>
          <w:szCs w:val="32"/>
          <w:highlight w:val="none"/>
        </w:rPr>
        <w:t>5</w:t>
      </w:r>
      <w:r>
        <w:rPr>
          <w:rFonts w:hint="eastAsia" w:cs="仿宋"/>
          <w:b/>
          <w:bCs/>
          <w:color w:val="auto"/>
          <w:sz w:val="32"/>
          <w:szCs w:val="32"/>
          <w:highlight w:val="none"/>
        </w:rPr>
        <w:t>京昆高速公路绵阳至成都段扩容项目</w:t>
      </w:r>
      <w:r>
        <w:rPr>
          <w:rFonts w:hint="eastAsia" w:cs="仿宋"/>
          <w:b/>
          <w:bCs/>
          <w:color w:val="auto"/>
          <w:sz w:val="32"/>
          <w:szCs w:val="32"/>
          <w:highlight w:val="none"/>
          <w:lang w:eastAsia="zh-CN"/>
        </w:rPr>
        <w:t>TJ2合同段</w:t>
      </w:r>
      <w:r>
        <w:rPr>
          <w:rFonts w:hint="eastAsia" w:cs="仿宋"/>
          <w:b/>
          <w:bCs/>
          <w:color w:val="auto"/>
          <w:sz w:val="32"/>
          <w:szCs w:val="32"/>
          <w:highlight w:val="none"/>
          <w:lang w:val="en-US" w:eastAsia="zh-CN"/>
        </w:rPr>
        <w:t>凯江大桥</w:t>
      </w:r>
    </w:p>
    <w:p>
      <w:pPr>
        <w:pStyle w:val="2"/>
        <w:ind w:firstLine="0"/>
        <w:jc w:val="center"/>
        <w:rPr>
          <w:rFonts w:cs="仿宋"/>
          <w:b/>
          <w:bCs/>
          <w:color w:val="auto"/>
          <w:sz w:val="32"/>
          <w:szCs w:val="32"/>
          <w:highlight w:val="none"/>
        </w:rPr>
      </w:pPr>
      <w:r>
        <w:rPr>
          <w:rFonts w:hint="eastAsia" w:cs="仿宋"/>
          <w:b/>
          <w:bCs/>
          <w:color w:val="auto"/>
          <w:sz w:val="32"/>
          <w:szCs w:val="32"/>
          <w:highlight w:val="none"/>
        </w:rPr>
        <w:t>工程劳务合作项目、工程规模、工期统计表</w:t>
      </w:r>
    </w:p>
    <w:tbl>
      <w:tblPr>
        <w:tblStyle w:val="6"/>
        <w:tblpPr w:leftFromText="180" w:rightFromText="180" w:vertAnchor="text" w:horzAnchor="page" w:tblpX="1070" w:tblpY="594"/>
        <w:tblOverlap w:val="never"/>
        <w:tblW w:w="14955" w:type="dxa"/>
        <w:tblInd w:w="0" w:type="dxa"/>
        <w:tblLayout w:type="fixed"/>
        <w:tblCellMar>
          <w:top w:w="0" w:type="dxa"/>
          <w:left w:w="0" w:type="dxa"/>
          <w:bottom w:w="0" w:type="dxa"/>
          <w:right w:w="0" w:type="dxa"/>
        </w:tblCellMar>
      </w:tblPr>
      <w:tblGrid>
        <w:gridCol w:w="527"/>
        <w:gridCol w:w="583"/>
        <w:gridCol w:w="2146"/>
        <w:gridCol w:w="850"/>
        <w:gridCol w:w="5779"/>
        <w:gridCol w:w="3120"/>
        <w:gridCol w:w="990"/>
        <w:gridCol w:w="960"/>
      </w:tblGrid>
      <w:tr>
        <w:tblPrEx>
          <w:tblLayout w:type="fixed"/>
          <w:tblCellMar>
            <w:top w:w="0" w:type="dxa"/>
            <w:left w:w="0" w:type="dxa"/>
            <w:bottom w:w="0" w:type="dxa"/>
            <w:right w:w="0" w:type="dxa"/>
          </w:tblCellMar>
        </w:tblPrEx>
        <w:trPr>
          <w:trHeight w:val="1515" w:hRule="atLeast"/>
          <w:tblHead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5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标段</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名称</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里程段落</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长度</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（m）</w:t>
            </w:r>
          </w:p>
        </w:tc>
        <w:tc>
          <w:tcPr>
            <w:tcW w:w="5779"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工程规模概况</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工作内容</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工期（月）</w:t>
            </w:r>
          </w:p>
        </w:tc>
        <w:tc>
          <w:tcPr>
            <w:tcW w:w="96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备注</w:t>
            </w:r>
          </w:p>
        </w:tc>
      </w:tr>
      <w:tr>
        <w:tblPrEx>
          <w:tblLayout w:type="fixed"/>
          <w:tblCellMar>
            <w:top w:w="0" w:type="dxa"/>
            <w:left w:w="0" w:type="dxa"/>
            <w:bottom w:w="0" w:type="dxa"/>
            <w:right w:w="0" w:type="dxa"/>
          </w:tblCellMar>
        </w:tblPrEx>
        <w:trPr>
          <w:trHeight w:val="2268"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5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1分段</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凯江大桥</w:t>
            </w:r>
          </w:p>
          <w:p>
            <w:pPr>
              <w:widowControl/>
              <w:jc w:val="center"/>
              <w:textAlignment w:val="center"/>
              <w:rPr>
                <w:rFonts w:hint="default" w:ascii="宋体" w:hAnsi="宋体" w:cs="宋体"/>
                <w:kern w:val="0"/>
                <w:sz w:val="18"/>
                <w:szCs w:val="18"/>
                <w:highlight w:val="none"/>
                <w:lang w:val="en-US" w:bidi="ar"/>
              </w:rPr>
            </w:pPr>
            <w:r>
              <w:rPr>
                <w:rFonts w:hint="eastAsia" w:ascii="宋体" w:hAnsi="宋体" w:cs="宋体"/>
                <w:kern w:val="0"/>
                <w:sz w:val="18"/>
                <w:szCs w:val="18"/>
                <w:highlight w:val="none"/>
                <w:lang w:bidi="ar"/>
              </w:rPr>
              <w:t>左幅K62+79</w:t>
            </w:r>
            <w:r>
              <w:rPr>
                <w:rFonts w:hint="eastAsia" w:ascii="宋体" w:hAnsi="宋体" w:cs="宋体"/>
                <w:kern w:val="0"/>
                <w:sz w:val="18"/>
                <w:szCs w:val="18"/>
                <w:highlight w:val="none"/>
                <w:lang w:val="en-US" w:eastAsia="zh-CN" w:bidi="ar"/>
              </w:rPr>
              <w:t>3</w:t>
            </w:r>
            <w:r>
              <w:rPr>
                <w:rFonts w:hint="eastAsia" w:ascii="宋体" w:hAnsi="宋体" w:cs="宋体"/>
                <w:kern w:val="0"/>
                <w:sz w:val="18"/>
                <w:szCs w:val="18"/>
                <w:highlight w:val="none"/>
                <w:lang w:bidi="ar"/>
              </w:rPr>
              <w:t>～K63+</w:t>
            </w:r>
            <w:r>
              <w:rPr>
                <w:rFonts w:hint="eastAsia" w:ascii="宋体" w:hAnsi="宋体" w:cs="宋体"/>
                <w:kern w:val="0"/>
                <w:sz w:val="18"/>
                <w:szCs w:val="18"/>
                <w:highlight w:val="none"/>
                <w:lang w:val="en-US" w:eastAsia="zh-CN" w:bidi="ar"/>
              </w:rPr>
              <w:t>055</w:t>
            </w:r>
          </w:p>
          <w:p>
            <w:pPr>
              <w:widowControl/>
              <w:jc w:val="center"/>
              <w:textAlignment w:val="center"/>
              <w:rPr>
                <w:rFonts w:hint="default" w:ascii="宋体" w:hAnsi="宋体" w:cs="宋体"/>
                <w:kern w:val="0"/>
                <w:sz w:val="18"/>
                <w:szCs w:val="18"/>
                <w:highlight w:val="none"/>
                <w:lang w:val="en-US" w:bidi="ar"/>
              </w:rPr>
            </w:pPr>
            <w:r>
              <w:rPr>
                <w:rFonts w:hint="eastAsia" w:ascii="宋体" w:hAnsi="宋体" w:cs="宋体"/>
                <w:kern w:val="0"/>
                <w:sz w:val="18"/>
                <w:szCs w:val="18"/>
                <w:highlight w:val="none"/>
                <w:lang w:bidi="ar"/>
              </w:rPr>
              <w:t>右幅K62+78</w:t>
            </w:r>
            <w:r>
              <w:rPr>
                <w:rFonts w:hint="eastAsia" w:ascii="宋体" w:hAnsi="宋体" w:cs="宋体"/>
                <w:kern w:val="0"/>
                <w:sz w:val="18"/>
                <w:szCs w:val="18"/>
                <w:highlight w:val="none"/>
                <w:lang w:val="en-US" w:eastAsia="zh-CN" w:bidi="ar"/>
              </w:rPr>
              <w:t>6</w:t>
            </w:r>
            <w:r>
              <w:rPr>
                <w:rFonts w:hint="eastAsia" w:ascii="宋体" w:hAnsi="宋体" w:cs="宋体"/>
                <w:kern w:val="0"/>
                <w:sz w:val="18"/>
                <w:szCs w:val="18"/>
                <w:highlight w:val="none"/>
                <w:lang w:bidi="ar"/>
              </w:rPr>
              <w:t>～K63+</w:t>
            </w:r>
            <w:r>
              <w:rPr>
                <w:rFonts w:hint="eastAsia" w:ascii="宋体" w:hAnsi="宋体" w:cs="宋体"/>
                <w:kern w:val="0"/>
                <w:sz w:val="18"/>
                <w:szCs w:val="18"/>
                <w:highlight w:val="none"/>
                <w:lang w:val="en-US" w:eastAsia="zh-CN" w:bidi="ar"/>
              </w:rPr>
              <w:t>048</w:t>
            </w:r>
          </w:p>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0#台-5#墩</w:t>
            </w:r>
            <w:r>
              <w:rPr>
                <w:rFonts w:hint="eastAsia" w:ascii="宋体" w:hAnsi="宋体" w:cs="宋体"/>
                <w:kern w:val="0"/>
                <w:sz w:val="18"/>
                <w:szCs w:val="18"/>
                <w:highlight w:val="none"/>
                <w:lang w:eastAsia="zh-CN" w:bidi="ar"/>
              </w:rPr>
              <w:t>）</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全长</w:t>
            </w:r>
            <w:r>
              <w:rPr>
                <w:rFonts w:hint="eastAsia" w:ascii="宋体" w:hAnsi="宋体" w:cs="宋体"/>
                <w:kern w:val="0"/>
                <w:sz w:val="18"/>
                <w:szCs w:val="18"/>
                <w:highlight w:val="none"/>
                <w:lang w:val="en-US" w:eastAsia="zh-CN" w:bidi="ar"/>
              </w:rPr>
              <w:t xml:space="preserve">  261</w:t>
            </w:r>
            <w:r>
              <w:rPr>
                <w:rFonts w:hint="eastAsia" w:ascii="宋体" w:hAnsi="宋体" w:cs="宋体"/>
                <w:kern w:val="0"/>
                <w:sz w:val="18"/>
                <w:szCs w:val="18"/>
                <w:highlight w:val="none"/>
                <w:lang w:bidi="ar"/>
              </w:rPr>
              <w:t>m</w:t>
            </w:r>
          </w:p>
        </w:tc>
        <w:tc>
          <w:tcPr>
            <w:tcW w:w="5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全桥共3联：4</w:t>
            </w:r>
            <w:r>
              <w:rPr>
                <w:rFonts w:hint="default"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40+（70.5+130+70.5）+2</w:t>
            </w:r>
            <w:r>
              <w:rPr>
                <w:rFonts w:hint="default"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40；第1联和第3联采用预应力砼简支T梁，桥面连续，第2联为连续刚构；下部结构第5号桥墩采用等直截面薄壁空心墩，第2、3、4号桥墩采用变截面空心墩，其余桥墩采用圆柱式墩。0号桥台采用柱式桥台桩基础，桥墩采用桩基础。</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凯江大桥上部构造：主桥箱梁施工（不含引桥简支T梁、桥面铺装及桥面工程）及其相关工程；</w:t>
            </w:r>
          </w:p>
          <w:p>
            <w:pPr>
              <w:pStyle w:val="2"/>
              <w:ind w:firstLine="0"/>
              <w:jc w:val="left"/>
              <w:rPr>
                <w:rFonts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凯江大桥下部构造：盖梁、挡块、墩柱、系梁、承台、桥台施工及其相关工程；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val="en-US" w:eastAsia="zh-CN" w:bidi="ar"/>
              </w:rPr>
              <w:t>不含桩基施工</w:t>
            </w:r>
            <w:r>
              <w:rPr>
                <w:rFonts w:hint="eastAsia" w:ascii="宋体" w:hAnsi="宋体" w:eastAsia="宋体" w:cs="宋体"/>
                <w:color w:val="auto"/>
                <w:sz w:val="18"/>
                <w:szCs w:val="18"/>
                <w:highlight w:val="none"/>
                <w:lang w:eastAsia="zh-CN" w:bidi="ar"/>
              </w:rPr>
              <w:t>）</w:t>
            </w:r>
          </w:p>
          <w:p>
            <w:pPr>
              <w:widowControl/>
              <w:jc w:val="left"/>
              <w:textAlignment w:val="center"/>
              <w:rPr>
                <w:rFonts w:ascii="宋体" w:hAnsi="宋体" w:cs="宋体"/>
                <w:color w:val="0000FF"/>
                <w:kern w:val="0"/>
                <w:sz w:val="18"/>
                <w:szCs w:val="18"/>
                <w:highlight w:val="none"/>
                <w:lang w:bidi="ar"/>
              </w:rPr>
            </w:pPr>
            <w:r>
              <w:rPr>
                <w:rFonts w:hint="eastAsia" w:ascii="宋体" w:hAnsi="宋体" w:cs="宋体"/>
                <w:color w:val="auto"/>
                <w:kern w:val="0"/>
                <w:sz w:val="18"/>
                <w:szCs w:val="18"/>
                <w:highlight w:val="none"/>
                <w:lang w:bidi="ar"/>
              </w:rPr>
              <w:t>凯江大桥附属构造：垫石、搭板、锥坡、防护及其相关工程。</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FF"/>
                <w:kern w:val="0"/>
                <w:sz w:val="18"/>
                <w:szCs w:val="18"/>
                <w:highlight w:val="none"/>
                <w:lang w:bidi="ar"/>
              </w:rPr>
            </w:pPr>
            <w:r>
              <w:rPr>
                <w:rFonts w:hint="eastAsia" w:ascii="宋体" w:hAnsi="宋体" w:cs="宋体"/>
                <w:color w:val="auto"/>
                <w:kern w:val="0"/>
                <w:sz w:val="18"/>
                <w:szCs w:val="18"/>
                <w:highlight w:val="none"/>
                <w:u w:val="single"/>
                <w:lang w:val="en-US" w:eastAsia="zh-CN" w:bidi="ar"/>
              </w:rPr>
              <w:t>18</w:t>
            </w:r>
            <w:r>
              <w:rPr>
                <w:rFonts w:hint="eastAsia" w:ascii="宋体" w:hAnsi="宋体" w:cs="宋体"/>
                <w:color w:val="auto"/>
                <w:kern w:val="0"/>
                <w:sz w:val="18"/>
                <w:szCs w:val="18"/>
                <w:highlight w:val="none"/>
                <w:lang w:bidi="ar"/>
              </w:rPr>
              <w:t>月（具体以业主要求为准）</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具体参数以设计图纸为准</w:t>
            </w:r>
          </w:p>
        </w:tc>
      </w:tr>
      <w:tr>
        <w:tblPrEx>
          <w:tblLayout w:type="fixed"/>
          <w:tblCellMar>
            <w:top w:w="0" w:type="dxa"/>
            <w:left w:w="0" w:type="dxa"/>
            <w:bottom w:w="0" w:type="dxa"/>
            <w:right w:w="0" w:type="dxa"/>
          </w:tblCellMar>
        </w:tblPrEx>
        <w:trPr>
          <w:trHeight w:val="2268"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w:t>
            </w:r>
          </w:p>
        </w:tc>
        <w:tc>
          <w:tcPr>
            <w:tcW w:w="5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2分段</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凯江大桥</w:t>
            </w:r>
          </w:p>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左幅K6</w:t>
            </w:r>
            <w:r>
              <w:rPr>
                <w:rFonts w:hint="eastAsia" w:ascii="宋体" w:hAnsi="宋体" w:cs="宋体"/>
                <w:kern w:val="0"/>
                <w:sz w:val="18"/>
                <w:szCs w:val="18"/>
                <w:highlight w:val="none"/>
                <w:lang w:val="en-US" w:eastAsia="zh-CN" w:bidi="ar"/>
              </w:rPr>
              <w:t>3</w:t>
            </w:r>
            <w:r>
              <w:rPr>
                <w:rFonts w:hint="eastAsia" w:ascii="宋体" w:hAnsi="宋体" w:cs="宋体"/>
                <w:kern w:val="0"/>
                <w:sz w:val="18"/>
                <w:szCs w:val="18"/>
                <w:highlight w:val="none"/>
                <w:lang w:bidi="ar"/>
              </w:rPr>
              <w:t>+</w:t>
            </w:r>
            <w:r>
              <w:rPr>
                <w:rFonts w:hint="eastAsia" w:ascii="宋体" w:hAnsi="宋体" w:cs="宋体"/>
                <w:kern w:val="0"/>
                <w:sz w:val="18"/>
                <w:szCs w:val="18"/>
                <w:highlight w:val="none"/>
                <w:lang w:val="en-US" w:eastAsia="zh-CN" w:bidi="ar"/>
              </w:rPr>
              <w:t>055</w:t>
            </w:r>
            <w:r>
              <w:rPr>
                <w:rFonts w:hint="eastAsia" w:ascii="宋体" w:hAnsi="宋体" w:cs="宋体"/>
                <w:kern w:val="0"/>
                <w:sz w:val="18"/>
                <w:szCs w:val="18"/>
                <w:highlight w:val="none"/>
                <w:lang w:bidi="ar"/>
              </w:rPr>
              <w:t>～K63+3</w:t>
            </w:r>
            <w:r>
              <w:rPr>
                <w:rFonts w:hint="eastAsia" w:ascii="宋体" w:hAnsi="宋体" w:cs="宋体"/>
                <w:kern w:val="0"/>
                <w:sz w:val="18"/>
                <w:szCs w:val="18"/>
                <w:highlight w:val="none"/>
                <w:lang w:val="en-US" w:eastAsia="zh-CN" w:bidi="ar"/>
              </w:rPr>
              <w:t>16.5</w:t>
            </w:r>
          </w:p>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bidi="ar"/>
              </w:rPr>
              <w:t>右幅K6</w:t>
            </w:r>
            <w:r>
              <w:rPr>
                <w:rFonts w:hint="eastAsia" w:ascii="宋体" w:hAnsi="宋体" w:cs="宋体"/>
                <w:kern w:val="0"/>
                <w:sz w:val="18"/>
                <w:szCs w:val="18"/>
                <w:highlight w:val="none"/>
                <w:lang w:val="en-US" w:eastAsia="zh-CN" w:bidi="ar"/>
              </w:rPr>
              <w:t>3</w:t>
            </w:r>
            <w:r>
              <w:rPr>
                <w:rFonts w:hint="eastAsia" w:ascii="宋体" w:hAnsi="宋体" w:cs="宋体"/>
                <w:kern w:val="0"/>
                <w:sz w:val="18"/>
                <w:szCs w:val="18"/>
                <w:highlight w:val="none"/>
                <w:lang w:bidi="ar"/>
              </w:rPr>
              <w:t>+</w:t>
            </w:r>
            <w:r>
              <w:rPr>
                <w:rFonts w:hint="eastAsia" w:ascii="宋体" w:hAnsi="宋体" w:cs="宋体"/>
                <w:kern w:val="0"/>
                <w:sz w:val="18"/>
                <w:szCs w:val="18"/>
                <w:highlight w:val="none"/>
                <w:lang w:val="en-US" w:eastAsia="zh-CN" w:bidi="ar"/>
              </w:rPr>
              <w:t>48</w:t>
            </w:r>
            <w:r>
              <w:rPr>
                <w:rFonts w:hint="eastAsia" w:ascii="宋体" w:hAnsi="宋体" w:cs="宋体"/>
                <w:kern w:val="0"/>
                <w:sz w:val="18"/>
                <w:szCs w:val="18"/>
                <w:highlight w:val="none"/>
                <w:lang w:bidi="ar"/>
              </w:rPr>
              <w:t>～K63+30</w:t>
            </w:r>
            <w:r>
              <w:rPr>
                <w:rFonts w:hint="eastAsia" w:ascii="宋体" w:hAnsi="宋体" w:cs="宋体"/>
                <w:kern w:val="0"/>
                <w:sz w:val="18"/>
                <w:szCs w:val="18"/>
                <w:highlight w:val="none"/>
                <w:lang w:val="en-US" w:eastAsia="zh-CN" w:bidi="ar"/>
              </w:rPr>
              <w:t>9.5</w:t>
            </w:r>
          </w:p>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6#墩-9#台</w:t>
            </w:r>
            <w:r>
              <w:rPr>
                <w:rFonts w:hint="eastAsia" w:ascii="宋体" w:hAnsi="宋体" w:cs="宋体"/>
                <w:kern w:val="0"/>
                <w:sz w:val="18"/>
                <w:szCs w:val="18"/>
                <w:highlight w:val="none"/>
                <w:lang w:eastAsia="zh-CN" w:bidi="ar"/>
              </w:rPr>
              <w:t>）</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全长</w:t>
            </w:r>
            <w:r>
              <w:rPr>
                <w:rFonts w:hint="eastAsia" w:ascii="宋体" w:hAnsi="宋体" w:cs="宋体"/>
                <w:kern w:val="0"/>
                <w:sz w:val="18"/>
                <w:szCs w:val="18"/>
                <w:highlight w:val="none"/>
                <w:lang w:val="en-US" w:eastAsia="zh-CN" w:bidi="ar"/>
              </w:rPr>
              <w:t>262.5</w:t>
            </w:r>
            <w:r>
              <w:rPr>
                <w:rFonts w:hint="eastAsia" w:ascii="宋体" w:hAnsi="宋体" w:cs="宋体"/>
                <w:kern w:val="0"/>
                <w:sz w:val="18"/>
                <w:szCs w:val="18"/>
                <w:highlight w:val="none"/>
                <w:lang w:bidi="ar"/>
              </w:rPr>
              <w:t>m</w:t>
            </w:r>
          </w:p>
        </w:tc>
        <w:tc>
          <w:tcPr>
            <w:tcW w:w="5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全桥共3联：4</w:t>
            </w:r>
            <w:r>
              <w:rPr>
                <w:rFonts w:hint="default"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40+（70.5+130+70.5）+2</w:t>
            </w:r>
            <w:r>
              <w:rPr>
                <w:rFonts w:hint="default"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40；第1联和第3联采用预应力砼简支T梁，桥面连续，第2联为连续刚构；下部结构第6号桥墩采用等直截面薄壁空心墩，7号墩采用矩形截面实心墩，其余桥墩采用圆柱式墩。9号桥台采用U型桥台扩大基础，桥墩采用桩基础。</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凯江大桥上部构造：主桥箱梁施工（不含引桥简支T梁、桥面铺装及桥面工程）及其相关工程；</w:t>
            </w:r>
          </w:p>
          <w:p>
            <w:pPr>
              <w:pStyle w:val="2"/>
              <w:ind w:firstLine="0"/>
              <w:jc w:val="left"/>
              <w:rPr>
                <w:rFonts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凯江大桥下部构造：盖梁、挡块、墩柱、系梁、承台、桥台施工及其相关工程；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val="en-US" w:eastAsia="zh-CN" w:bidi="ar"/>
              </w:rPr>
              <w:t>不含桩基施工</w:t>
            </w:r>
            <w:r>
              <w:rPr>
                <w:rFonts w:hint="eastAsia" w:ascii="宋体" w:hAnsi="宋体" w:eastAsia="宋体" w:cs="宋体"/>
                <w:color w:val="auto"/>
                <w:sz w:val="18"/>
                <w:szCs w:val="18"/>
                <w:highlight w:val="none"/>
                <w:lang w:eastAsia="zh-CN" w:bidi="ar"/>
              </w:rPr>
              <w:t>）</w:t>
            </w:r>
          </w:p>
          <w:p>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凯江大桥附属构造：垫石、搭板、锥坡、防护及其相关工程。</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u w:val="single"/>
                <w:lang w:val="en-US" w:eastAsia="zh-CN" w:bidi="ar"/>
              </w:rPr>
            </w:pPr>
            <w:r>
              <w:rPr>
                <w:rFonts w:hint="eastAsia" w:ascii="宋体" w:hAnsi="宋体" w:cs="宋体"/>
                <w:color w:val="auto"/>
                <w:kern w:val="0"/>
                <w:sz w:val="18"/>
                <w:szCs w:val="18"/>
                <w:highlight w:val="none"/>
                <w:u w:val="single"/>
                <w:lang w:val="en-US" w:eastAsia="zh-CN" w:bidi="ar"/>
              </w:rPr>
              <w:t>18</w:t>
            </w:r>
            <w:r>
              <w:rPr>
                <w:rFonts w:hint="eastAsia" w:ascii="宋体" w:hAnsi="宋体" w:cs="宋体"/>
                <w:color w:val="auto"/>
                <w:kern w:val="0"/>
                <w:sz w:val="18"/>
                <w:szCs w:val="18"/>
                <w:highlight w:val="none"/>
                <w:lang w:bidi="ar"/>
              </w:rPr>
              <w:t>月（具体以业主要求为准）</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具体参数以设计图纸为准</w:t>
            </w:r>
          </w:p>
        </w:tc>
      </w:tr>
    </w:tbl>
    <w:p>
      <w:pPr>
        <w:pStyle w:val="2"/>
        <w:jc w:val="left"/>
        <w:rPr>
          <w:rFonts w:ascii="宋体" w:hAnsi="宋体" w:eastAsia="宋体" w:cs="宋体"/>
          <w:b/>
          <w:sz w:val="28"/>
          <w:szCs w:val="28"/>
          <w:highlight w:val="none"/>
        </w:rPr>
      </w:pPr>
      <w:bookmarkStart w:id="0" w:name="_Toc22287"/>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ind w:firstLine="0"/>
        <w:jc w:val="center"/>
        <w:rPr>
          <w:rFonts w:cs="仿宋"/>
          <w:b/>
          <w:bCs/>
          <w:color w:val="auto"/>
          <w:sz w:val="32"/>
          <w:szCs w:val="32"/>
          <w:highlight w:val="none"/>
        </w:rPr>
      </w:pP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rPr>
        <w:t>G</w:t>
      </w:r>
      <w:r>
        <w:rPr>
          <w:rFonts w:cs="仿宋"/>
          <w:b/>
          <w:bCs/>
          <w:color w:val="auto"/>
          <w:sz w:val="32"/>
          <w:szCs w:val="32"/>
          <w:highlight w:val="none"/>
        </w:rPr>
        <w:t>5</w:t>
      </w:r>
      <w:r>
        <w:rPr>
          <w:rFonts w:hint="eastAsia" w:cs="仿宋"/>
          <w:b/>
          <w:bCs/>
          <w:color w:val="auto"/>
          <w:sz w:val="32"/>
          <w:szCs w:val="32"/>
          <w:highlight w:val="none"/>
        </w:rPr>
        <w:t>京昆高速公路绵阳至成都段扩容项目</w:t>
      </w:r>
      <w:r>
        <w:rPr>
          <w:rFonts w:hint="eastAsia" w:cs="仿宋"/>
          <w:b/>
          <w:bCs/>
          <w:color w:val="auto"/>
          <w:sz w:val="32"/>
          <w:szCs w:val="32"/>
          <w:highlight w:val="none"/>
          <w:lang w:eastAsia="zh-CN"/>
        </w:rPr>
        <w:t>TJ2合同段</w:t>
      </w:r>
      <w:r>
        <w:rPr>
          <w:rFonts w:hint="eastAsia" w:cs="仿宋"/>
          <w:b/>
          <w:bCs/>
          <w:color w:val="auto"/>
          <w:sz w:val="32"/>
          <w:szCs w:val="32"/>
          <w:highlight w:val="none"/>
          <w:lang w:val="en-US" w:eastAsia="zh-CN"/>
        </w:rPr>
        <w:t>凯江大桥</w:t>
      </w:r>
    </w:p>
    <w:p>
      <w:pPr>
        <w:pStyle w:val="2"/>
        <w:ind w:firstLine="0"/>
        <w:jc w:val="center"/>
        <w:rPr>
          <w:rFonts w:cs="仿宋"/>
          <w:b/>
          <w:bCs/>
          <w:color w:val="auto"/>
          <w:sz w:val="32"/>
          <w:szCs w:val="32"/>
          <w:highlight w:val="none"/>
        </w:rPr>
      </w:pPr>
      <w:r>
        <w:rPr>
          <w:rFonts w:hint="eastAsia" w:cs="仿宋"/>
          <w:b/>
          <w:bCs/>
          <w:color w:val="auto"/>
          <w:sz w:val="32"/>
          <w:szCs w:val="32"/>
          <w:highlight w:val="none"/>
          <w:lang w:val="en-US" w:eastAsia="zh-CN"/>
        </w:rPr>
        <w:t>工程</w:t>
      </w:r>
      <w:r>
        <w:rPr>
          <w:rFonts w:hint="eastAsia" w:cs="仿宋"/>
          <w:b/>
          <w:bCs/>
          <w:color w:val="auto"/>
          <w:sz w:val="32"/>
          <w:szCs w:val="32"/>
          <w:highlight w:val="none"/>
        </w:rPr>
        <w:t>劳务合作项目施工企业资质等级要求、业绩基本要求</w:t>
      </w:r>
    </w:p>
    <w:p>
      <w:pPr>
        <w:pStyle w:val="2"/>
        <w:ind w:firstLine="0"/>
        <w:jc w:val="center"/>
        <w:rPr>
          <w:rFonts w:ascii="宋体" w:hAnsi="宋体" w:eastAsia="宋体" w:cs="宋体"/>
          <w:b/>
          <w:sz w:val="28"/>
          <w:szCs w:val="28"/>
          <w:highlight w:val="none"/>
        </w:rPr>
      </w:pPr>
    </w:p>
    <w:tbl>
      <w:tblPr>
        <w:tblStyle w:val="6"/>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1分段</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桥梁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 w:val="18"/>
                <w:szCs w:val="18"/>
                <w:highlight w:val="none"/>
              </w:rPr>
            </w:pPr>
            <w:r>
              <w:rPr>
                <w:rFonts w:hint="eastAsia"/>
                <w:color w:val="auto"/>
                <w:sz w:val="18"/>
                <w:szCs w:val="18"/>
                <w:highlight w:val="none"/>
              </w:rPr>
              <w:t>具有</w:t>
            </w:r>
            <w:r>
              <w:rPr>
                <w:rFonts w:hint="eastAsia" w:ascii="宋体" w:hAnsi="宋体" w:cs="宋体"/>
                <w:color w:val="auto"/>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5年内（201</w:t>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年1月1日至今）</w:t>
            </w: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个连续钢构</w:t>
            </w:r>
            <w:r>
              <w:rPr>
                <w:rFonts w:hint="eastAsia" w:ascii="宋体" w:hAnsi="宋体" w:cs="宋体"/>
                <w:color w:val="auto"/>
                <w:sz w:val="18"/>
                <w:szCs w:val="18"/>
                <w:highlight w:val="none"/>
                <w:lang w:val="en-US" w:eastAsia="zh-CN"/>
              </w:rPr>
              <w:t>桥梁</w:t>
            </w:r>
            <w:r>
              <w:rPr>
                <w:rFonts w:hint="eastAsia" w:ascii="宋体" w:hAnsi="宋体" w:cs="宋体"/>
                <w:color w:val="auto"/>
                <w:sz w:val="18"/>
                <w:szCs w:val="18"/>
                <w:highlight w:val="none"/>
              </w:rPr>
              <w:t>施工项目施工业绩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2分段</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桥梁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w:t>
            </w:r>
            <w:r>
              <w:rPr>
                <w:rFonts w:hint="eastAsia" w:ascii="宋体" w:hAnsi="宋体" w:cs="宋体"/>
                <w:color w:val="auto"/>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5年内（201</w:t>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年1月1日至今</w:t>
            </w:r>
            <w:r>
              <w:rPr>
                <w:rFonts w:hint="eastAsia" w:ascii="宋体" w:hAnsi="宋体" w:cs="宋体"/>
                <w:color w:val="auto"/>
                <w:kern w:val="0"/>
                <w:sz w:val="18"/>
                <w:szCs w:val="18"/>
                <w:highlight w:val="none"/>
                <w:lang w:eastAsia="zh-CN" w:bidi="ar"/>
              </w:rPr>
              <w:t>）</w:t>
            </w: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个连</w:t>
            </w:r>
            <w:r>
              <w:rPr>
                <w:rFonts w:hint="eastAsia" w:ascii="宋体" w:hAnsi="宋体" w:cs="宋体"/>
                <w:color w:val="auto"/>
                <w:sz w:val="18"/>
                <w:szCs w:val="18"/>
                <w:highlight w:val="none"/>
                <w:lang w:val="en-US" w:eastAsia="zh-CN"/>
              </w:rPr>
              <w:t>续刚</w:t>
            </w:r>
            <w:r>
              <w:rPr>
                <w:rFonts w:hint="eastAsia" w:ascii="宋体" w:hAnsi="宋体" w:cs="宋体"/>
                <w:color w:val="auto"/>
                <w:sz w:val="18"/>
                <w:szCs w:val="18"/>
                <w:highlight w:val="none"/>
              </w:rPr>
              <w:t>构</w:t>
            </w:r>
            <w:r>
              <w:rPr>
                <w:rFonts w:hint="eastAsia" w:ascii="宋体" w:hAnsi="宋体" w:cs="宋体"/>
                <w:color w:val="auto"/>
                <w:sz w:val="18"/>
                <w:szCs w:val="18"/>
                <w:highlight w:val="none"/>
                <w:lang w:val="en-US" w:eastAsia="zh-CN"/>
              </w:rPr>
              <w:t>桥梁</w:t>
            </w:r>
            <w:r>
              <w:rPr>
                <w:rFonts w:hint="eastAsia" w:ascii="宋体" w:hAnsi="宋体" w:cs="宋体"/>
                <w:color w:val="auto"/>
                <w:sz w:val="18"/>
                <w:szCs w:val="18"/>
                <w:highlight w:val="none"/>
              </w:rPr>
              <w:t>施工项目施工业绩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bl>
    <w:p>
      <w:pPr>
        <w:pStyle w:val="2"/>
        <w:ind w:firstLine="0"/>
        <w:jc w:val="center"/>
        <w:rPr>
          <w:rFonts w:cs="仿宋"/>
          <w:b/>
          <w:bCs/>
          <w:sz w:val="32"/>
          <w:szCs w:val="32"/>
          <w:highlight w:val="none"/>
        </w:rPr>
      </w:pPr>
    </w:p>
    <w:p>
      <w:pPr>
        <w:pStyle w:val="2"/>
        <w:ind w:firstLine="0"/>
        <w:jc w:val="center"/>
        <w:rPr>
          <w:rFonts w:cs="仿宋"/>
          <w:b/>
          <w:bCs/>
          <w:sz w:val="32"/>
          <w:szCs w:val="32"/>
          <w:highlight w:val="none"/>
        </w:rPr>
      </w:pPr>
    </w:p>
    <w:p>
      <w:pPr>
        <w:pStyle w:val="2"/>
        <w:ind w:firstLine="0"/>
        <w:jc w:val="center"/>
        <w:rPr>
          <w:rFonts w:cs="仿宋"/>
          <w:b/>
          <w:bCs/>
          <w:color w:val="6666FF"/>
          <w:sz w:val="32"/>
          <w:szCs w:val="32"/>
          <w:highlight w:val="none"/>
        </w:rPr>
      </w:pPr>
    </w:p>
    <w:p>
      <w:pPr>
        <w:pStyle w:val="8"/>
        <w:tabs>
          <w:tab w:val="right" w:leader="dot" w:pos="8306"/>
        </w:tabs>
        <w:jc w:val="center"/>
        <w:rPr>
          <w:rFonts w:ascii="等线" w:hAnsi="等线" w:eastAsia="等线" w:cs="等线"/>
          <w:b/>
          <w:bCs/>
          <w:sz w:val="48"/>
          <w:szCs w:val="48"/>
          <w:highlight w:val="none"/>
          <w:lang w:bidi="zh-CN"/>
        </w:rPr>
        <w:sectPr>
          <w:pgSz w:w="16838" w:h="11911" w:orient="landscape"/>
          <w:pgMar w:top="1100" w:right="1599" w:bottom="1179" w:left="1298" w:header="0" w:footer="567" w:gutter="0"/>
          <w:pgNumType w:fmt="decimal"/>
          <w:cols w:space="720" w:num="1"/>
          <w:docGrid w:linePitch="1" w:charSpace="0"/>
        </w:sectPr>
      </w:pPr>
    </w:p>
    <w:p>
      <w:pPr>
        <w:pStyle w:val="2"/>
        <w:ind w:firstLine="0"/>
        <w:jc w:val="left"/>
        <w:rPr>
          <w:rFonts w:ascii="宋体" w:hAnsi="宋体" w:eastAsia="宋体" w:cs="宋体"/>
          <w:b/>
          <w:color w:val="auto"/>
          <w:sz w:val="28"/>
          <w:szCs w:val="28"/>
          <w:highlight w:val="none"/>
        </w:rPr>
      </w:pPr>
      <w:r>
        <w:rPr>
          <w:rFonts w:hint="eastAsia" w:ascii="宋体" w:hAnsi="宋体" w:eastAsia="宋体" w:cs="宋体"/>
          <w:b/>
          <w:sz w:val="28"/>
          <w:szCs w:val="28"/>
          <w:highlight w:val="none"/>
        </w:rPr>
        <w:t>附表</w:t>
      </w:r>
      <w:r>
        <w:rPr>
          <w:rFonts w:hint="eastAsia" w:ascii="宋体" w:hAnsi="宋体" w:eastAsia="宋体" w:cs="宋体"/>
          <w:b/>
          <w:color w:val="auto"/>
          <w:sz w:val="28"/>
          <w:szCs w:val="28"/>
          <w:highlight w:val="none"/>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G</w:t>
            </w:r>
            <w:r>
              <w:rPr>
                <w:rFonts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t>京昆高速公路绵阳至成都段扩容项目</w:t>
            </w:r>
            <w:r>
              <w:rPr>
                <w:rFonts w:hint="eastAsia" w:ascii="仿宋" w:hAnsi="仿宋" w:eastAsia="仿宋" w:cs="仿宋"/>
                <w:b/>
                <w:bCs/>
                <w:color w:val="auto"/>
                <w:sz w:val="28"/>
                <w:szCs w:val="28"/>
                <w:highlight w:val="none"/>
                <w:lang w:eastAsia="zh-CN"/>
              </w:rPr>
              <w:t>TJ2合同段</w:t>
            </w:r>
            <w:r>
              <w:rPr>
                <w:rFonts w:hint="eastAsia" w:ascii="仿宋" w:hAnsi="仿宋" w:eastAsia="仿宋" w:cs="仿宋"/>
                <w:b/>
                <w:bCs/>
                <w:color w:val="auto"/>
                <w:sz w:val="28"/>
                <w:szCs w:val="28"/>
                <w:highlight w:val="none"/>
                <w:lang w:val="en-US" w:eastAsia="zh-CN"/>
              </w:rPr>
              <w:t>凯江大桥</w:t>
            </w:r>
          </w:p>
          <w:p>
            <w:pPr>
              <w:widowControl/>
              <w:jc w:val="center"/>
              <w:textAlignment w:val="center"/>
              <w:rPr>
                <w:rFonts w:hint="eastAsia" w:ascii="仿宋" w:hAnsi="仿宋" w:eastAsia="仿宋" w:cs="仿宋"/>
                <w:b/>
                <w:color w:val="auto"/>
                <w:kern w:val="0"/>
                <w:sz w:val="28"/>
                <w:szCs w:val="28"/>
                <w:highlight w:val="none"/>
                <w:lang w:bidi="ar"/>
              </w:rPr>
            </w:pPr>
            <w:r>
              <w:rPr>
                <w:rFonts w:hint="eastAsia" w:ascii="仿宋" w:hAnsi="仿宋" w:eastAsia="仿宋" w:cs="仿宋"/>
                <w:b/>
                <w:bCs/>
                <w:color w:val="auto"/>
                <w:sz w:val="28"/>
                <w:szCs w:val="28"/>
                <w:highlight w:val="none"/>
                <w:lang w:val="en-US" w:eastAsia="zh-CN"/>
              </w:rPr>
              <w:t>工程</w:t>
            </w:r>
            <w:r>
              <w:rPr>
                <w:rFonts w:hint="eastAsia" w:ascii="仿宋" w:hAnsi="仿宋" w:eastAsia="仿宋" w:cs="仿宋"/>
                <w:b/>
                <w:bCs/>
                <w:color w:val="auto"/>
                <w:sz w:val="28"/>
                <w:szCs w:val="28"/>
                <w:highlight w:val="none"/>
              </w:rPr>
              <w:t>劳务合作项目拟</w:t>
            </w:r>
            <w:r>
              <w:rPr>
                <w:rFonts w:hint="eastAsia" w:ascii="仿宋" w:hAnsi="仿宋" w:eastAsia="仿宋" w:cs="仿宋"/>
                <w:b/>
                <w:color w:val="auto"/>
                <w:kern w:val="0"/>
                <w:sz w:val="28"/>
                <w:szCs w:val="28"/>
                <w:highlight w:val="none"/>
                <w:lang w:bidi="ar"/>
              </w:rPr>
              <w:t>投入</w:t>
            </w:r>
            <w:r>
              <w:rPr>
                <w:rFonts w:hint="eastAsia" w:ascii="仿宋" w:hAnsi="仿宋" w:eastAsia="仿宋" w:cs="仿宋"/>
                <w:b/>
                <w:color w:val="auto"/>
                <w:kern w:val="0"/>
                <w:sz w:val="28"/>
                <w:szCs w:val="28"/>
                <w:highlight w:val="none"/>
                <w:lang w:val="en-US" w:eastAsia="zh-CN" w:bidi="ar"/>
              </w:rPr>
              <w:t>主要</w:t>
            </w:r>
            <w:r>
              <w:rPr>
                <w:rFonts w:hint="eastAsia" w:ascii="仿宋" w:hAnsi="仿宋" w:eastAsia="仿宋" w:cs="仿宋"/>
                <w:b/>
                <w:color w:val="auto"/>
                <w:kern w:val="0"/>
                <w:sz w:val="28"/>
                <w:szCs w:val="28"/>
                <w:highlight w:val="none"/>
                <w:lang w:bidi="ar"/>
              </w:rPr>
              <w:t>人员配置表</w:t>
            </w:r>
          </w:p>
          <w:p>
            <w:pPr>
              <w:widowControl/>
              <w:wordWrap w:val="0"/>
              <w:jc w:val="center"/>
              <w:textAlignment w:val="center"/>
              <w:rPr>
                <w:rFonts w:ascii="宋体" w:hAnsi="宋体" w:cs="宋体"/>
                <w:b/>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lang w:eastAsia="zh-CN"/>
              </w:rPr>
              <w:t>安全员（</w:t>
            </w:r>
            <w:r>
              <w:rPr>
                <w:rFonts w:hint="eastAsia" w:ascii="宋体" w:hAnsi="宋体" w:cs="宋体"/>
                <w:szCs w:val="21"/>
                <w:highlight w:val="none"/>
                <w:lang w:val="en-US" w:eastAsia="zh-CN"/>
              </w:rPr>
              <w:t>C证</w:t>
            </w:r>
            <w:r>
              <w:rPr>
                <w:rFonts w:hint="eastAsia" w:ascii="宋体" w:hAnsi="宋体" w:cs="宋体"/>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桥梁技术员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负责现场施工管理</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bottom w:val="nil"/>
              <w:tl2br w:val="nil"/>
              <w:tr2bl w:val="nil"/>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w:t>
            </w:r>
            <w:r>
              <w:rPr>
                <w:rFonts w:hint="eastAsia" w:ascii="宋体" w:hAnsi="宋体" w:cs="宋体"/>
                <w:color w:val="auto"/>
                <w:kern w:val="0"/>
                <w:sz w:val="18"/>
                <w:szCs w:val="18"/>
                <w:highlight w:val="none"/>
                <w:lang w:bidi="ar"/>
              </w:rPr>
              <w:t>50</w:t>
            </w:r>
            <w:r>
              <w:rPr>
                <w:rFonts w:hint="eastAsia" w:ascii="宋体" w:hAnsi="宋体" w:cs="宋体"/>
                <w:kern w:val="0"/>
                <w:sz w:val="18"/>
                <w:szCs w:val="18"/>
                <w:highlight w:val="none"/>
                <w:lang w:bidi="ar"/>
              </w:rPr>
              <w:t>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nil"/>
            </w:tcBorders>
            <w:tcMar>
              <w:top w:w="15" w:type="dxa"/>
              <w:left w:w="15" w:type="dxa"/>
              <w:right w:w="15" w:type="dxa"/>
            </w:tcMar>
            <w:vAlign w:val="center"/>
          </w:tcPr>
          <w:p>
            <w:pPr>
              <w:widowControl/>
              <w:jc w:val="left"/>
              <w:textAlignment w:val="center"/>
              <w:rPr>
                <w:rFonts w:ascii="宋体" w:hAnsi="宋体" w:cs="宋体"/>
                <w:kern w:val="0"/>
                <w:sz w:val="18"/>
                <w:szCs w:val="18"/>
                <w:highlight w:val="none"/>
                <w:lang w:bidi="ar"/>
              </w:rPr>
            </w:pPr>
          </w:p>
        </w:tc>
      </w:tr>
    </w:tbl>
    <w:p>
      <w:pPr>
        <w:jc w:val="left"/>
        <w:rPr>
          <w:rFonts w:ascii="仿宋" w:hAnsi="仿宋" w:eastAsia="仿宋" w:cs="仿宋"/>
          <w:b/>
          <w:bCs/>
          <w:sz w:val="32"/>
          <w:szCs w:val="32"/>
          <w:highlight w:val="none"/>
        </w:rPr>
      </w:pPr>
      <w:r>
        <w:rPr>
          <w:rFonts w:hint="eastAsia" w:ascii="宋体" w:hAnsi="宋体" w:cs="宋体"/>
          <w:b/>
          <w:sz w:val="28"/>
          <w:szCs w:val="28"/>
          <w:highlight w:val="none"/>
        </w:rPr>
        <w:br w:type="page"/>
      </w:r>
    </w:p>
    <w:p>
      <w:pPr>
        <w:pStyle w:val="2"/>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G</w:t>
            </w:r>
            <w:r>
              <w:rPr>
                <w:rFonts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t>京昆高速公路绵阳至成都段扩容项目</w:t>
            </w:r>
            <w:r>
              <w:rPr>
                <w:rFonts w:hint="eastAsia" w:ascii="仿宋" w:hAnsi="仿宋" w:eastAsia="仿宋" w:cs="仿宋"/>
                <w:b/>
                <w:bCs/>
                <w:color w:val="auto"/>
                <w:sz w:val="28"/>
                <w:szCs w:val="28"/>
                <w:highlight w:val="none"/>
                <w:lang w:eastAsia="zh-CN"/>
              </w:rPr>
              <w:t>TJ2合同段</w:t>
            </w:r>
            <w:r>
              <w:rPr>
                <w:rFonts w:hint="eastAsia" w:ascii="仿宋" w:hAnsi="仿宋" w:eastAsia="仿宋" w:cs="仿宋"/>
                <w:b/>
                <w:bCs/>
                <w:color w:val="auto"/>
                <w:sz w:val="28"/>
                <w:szCs w:val="28"/>
                <w:highlight w:val="none"/>
                <w:lang w:val="en-US" w:eastAsia="zh-CN"/>
              </w:rPr>
              <w:t>凯江大桥</w:t>
            </w:r>
          </w:p>
          <w:p>
            <w:pPr>
              <w:widowControl/>
              <w:jc w:val="center"/>
              <w:textAlignment w:val="center"/>
              <w:rPr>
                <w:rFonts w:ascii="仿宋" w:hAnsi="仿宋" w:eastAsia="仿宋" w:cs="仿宋"/>
                <w:b/>
                <w:color w:val="auto"/>
                <w:kern w:val="0"/>
                <w:sz w:val="28"/>
                <w:szCs w:val="28"/>
                <w:highlight w:val="none"/>
                <w:lang w:bidi="ar"/>
              </w:rPr>
            </w:pPr>
            <w:r>
              <w:rPr>
                <w:rFonts w:hint="eastAsia" w:ascii="仿宋" w:hAnsi="仿宋" w:eastAsia="仿宋" w:cs="仿宋"/>
                <w:b/>
                <w:bCs/>
                <w:color w:val="auto"/>
                <w:sz w:val="28"/>
                <w:szCs w:val="28"/>
                <w:highlight w:val="none"/>
                <w:lang w:val="en-US" w:eastAsia="zh-CN"/>
              </w:rPr>
              <w:t>工程</w:t>
            </w:r>
            <w:r>
              <w:rPr>
                <w:rFonts w:hint="eastAsia" w:ascii="仿宋" w:hAnsi="仿宋" w:eastAsia="仿宋" w:cs="仿宋"/>
                <w:b/>
                <w:bCs/>
                <w:color w:val="auto"/>
                <w:sz w:val="28"/>
                <w:szCs w:val="28"/>
                <w:highlight w:val="none"/>
              </w:rPr>
              <w:t>劳务合作项目拟</w:t>
            </w:r>
            <w:r>
              <w:rPr>
                <w:rFonts w:hint="eastAsia" w:ascii="仿宋" w:hAnsi="仿宋" w:eastAsia="仿宋" w:cs="仿宋"/>
                <w:b/>
                <w:color w:val="auto"/>
                <w:kern w:val="0"/>
                <w:sz w:val="28"/>
                <w:szCs w:val="28"/>
                <w:highlight w:val="none"/>
                <w:lang w:bidi="ar"/>
              </w:rPr>
              <w:t>投入</w:t>
            </w:r>
            <w:r>
              <w:rPr>
                <w:rFonts w:hint="eastAsia" w:ascii="仿宋" w:hAnsi="仿宋" w:eastAsia="仿宋" w:cs="仿宋"/>
                <w:b/>
                <w:color w:val="auto"/>
                <w:kern w:val="0"/>
                <w:sz w:val="28"/>
                <w:szCs w:val="28"/>
                <w:highlight w:val="none"/>
                <w:lang w:val="en-US" w:eastAsia="zh-CN" w:bidi="ar"/>
              </w:rPr>
              <w:t>主要</w:t>
            </w:r>
            <w:r>
              <w:rPr>
                <w:rFonts w:hint="eastAsia" w:ascii="仿宋" w:hAnsi="仿宋" w:eastAsia="仿宋" w:cs="仿宋"/>
                <w:b/>
                <w:color w:val="auto"/>
                <w:kern w:val="0"/>
                <w:sz w:val="28"/>
                <w:szCs w:val="28"/>
                <w:highlight w:val="none"/>
                <w:lang w:bidi="ar"/>
              </w:rPr>
              <w:t>设备明细表</w:t>
            </w:r>
          </w:p>
          <w:p>
            <w:pPr>
              <w:widowControl/>
              <w:jc w:val="center"/>
              <w:textAlignment w:val="center"/>
              <w:rPr>
                <w:rFonts w:hint="eastAsia" w:ascii="宋体" w:hAnsi="宋体" w:eastAsia="宋体" w:cs="宋体"/>
                <w:b/>
                <w:sz w:val="28"/>
                <w:szCs w:val="28"/>
                <w:highlight w:val="none"/>
                <w:lang w:eastAsia="zh-CN"/>
              </w:rPr>
            </w:pPr>
            <w:r>
              <w:rPr>
                <w:rFonts w:hint="eastAsia" w:ascii="宋体" w:hAnsi="宋体" w:cs="宋体"/>
                <w:b/>
                <w:sz w:val="24"/>
                <w:szCs w:val="24"/>
                <w:highlight w:val="none"/>
                <w:lang w:eastAsia="zh-CN"/>
              </w:rPr>
              <w:t>（适用于</w:t>
            </w:r>
            <w:r>
              <w:rPr>
                <w:rFonts w:hint="eastAsia" w:ascii="宋体" w:hAnsi="宋体" w:cs="宋体"/>
                <w:b/>
                <w:sz w:val="24"/>
                <w:szCs w:val="24"/>
                <w:highlight w:val="none"/>
                <w:lang w:val="en-US" w:eastAsia="zh-CN"/>
              </w:rPr>
              <w:t>1、2分段</w:t>
            </w:r>
            <w:r>
              <w:rPr>
                <w:rFonts w:hint="eastAsia" w:ascii="宋体" w:hAnsi="宋体" w:cs="宋体"/>
                <w:b/>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Spec="center" w:tblpY="-2073"/>
              <w:tblOverlap w:val="never"/>
              <w:tblW w:w="96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636"/>
              <w:gridCol w:w="1004"/>
              <w:gridCol w:w="913"/>
              <w:gridCol w:w="1716"/>
              <w:gridCol w:w="1117"/>
              <w:gridCol w:w="767"/>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645"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63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00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规格、型号</w:t>
                  </w:r>
                </w:p>
              </w:tc>
              <w:tc>
                <w:tcPr>
                  <w:tcW w:w="913"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171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基本要求</w:t>
                  </w:r>
                </w:p>
              </w:tc>
              <w:tc>
                <w:tcPr>
                  <w:tcW w:w="111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每增加一台设备加分值</w:t>
                  </w:r>
                </w:p>
              </w:tc>
              <w:tc>
                <w:tcPr>
                  <w:tcW w:w="76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加分上限</w:t>
                  </w:r>
                </w:p>
              </w:tc>
              <w:tc>
                <w:tcPr>
                  <w:tcW w:w="1850"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jc w:val="center"/>
              </w:trPr>
              <w:tc>
                <w:tcPr>
                  <w:tcW w:w="645" w:type="dxa"/>
                  <w:vMerge w:val="continue"/>
                  <w:vAlign w:val="center"/>
                </w:tcPr>
                <w:p>
                  <w:pPr>
                    <w:widowControl/>
                    <w:numPr>
                      <w:ilvl w:val="255"/>
                      <w:numId w:val="0"/>
                    </w:numPr>
                    <w:jc w:val="center"/>
                    <w:rPr>
                      <w:rFonts w:ascii="宋体" w:hAnsi="宋体" w:cs="宋体"/>
                      <w:sz w:val="18"/>
                      <w:szCs w:val="18"/>
                      <w:highlight w:val="none"/>
                    </w:rPr>
                  </w:pPr>
                </w:p>
              </w:tc>
              <w:tc>
                <w:tcPr>
                  <w:tcW w:w="1636" w:type="dxa"/>
                  <w:vMerge w:val="continue"/>
                  <w:vAlign w:val="center"/>
                </w:tcPr>
                <w:p>
                  <w:pPr>
                    <w:widowControl/>
                    <w:numPr>
                      <w:ilvl w:val="255"/>
                      <w:numId w:val="0"/>
                    </w:numPr>
                    <w:jc w:val="center"/>
                    <w:rPr>
                      <w:rFonts w:ascii="宋体" w:hAnsi="宋体" w:cs="宋体"/>
                      <w:sz w:val="18"/>
                      <w:szCs w:val="18"/>
                      <w:highlight w:val="none"/>
                    </w:rPr>
                  </w:pPr>
                </w:p>
              </w:tc>
              <w:tc>
                <w:tcPr>
                  <w:tcW w:w="1004" w:type="dxa"/>
                  <w:vMerge w:val="continue"/>
                  <w:vAlign w:val="center"/>
                </w:tcPr>
                <w:p>
                  <w:pPr>
                    <w:widowControl/>
                    <w:numPr>
                      <w:ilvl w:val="255"/>
                      <w:numId w:val="0"/>
                    </w:numPr>
                    <w:jc w:val="center"/>
                    <w:rPr>
                      <w:rFonts w:ascii="宋体" w:hAnsi="宋体" w:cs="宋体"/>
                      <w:sz w:val="18"/>
                      <w:szCs w:val="18"/>
                      <w:highlight w:val="none"/>
                    </w:rPr>
                  </w:pPr>
                </w:p>
              </w:tc>
              <w:tc>
                <w:tcPr>
                  <w:tcW w:w="913" w:type="dxa"/>
                  <w:vMerge w:val="continue"/>
                  <w:vAlign w:val="center"/>
                </w:tcPr>
                <w:p>
                  <w:pPr>
                    <w:widowControl/>
                    <w:numPr>
                      <w:ilvl w:val="255"/>
                      <w:numId w:val="0"/>
                    </w:numPr>
                    <w:jc w:val="center"/>
                    <w:rPr>
                      <w:rFonts w:ascii="宋体" w:hAnsi="宋体" w:cs="宋体"/>
                      <w:sz w:val="18"/>
                      <w:szCs w:val="18"/>
                      <w:highlight w:val="none"/>
                    </w:rPr>
                  </w:pPr>
                </w:p>
              </w:tc>
              <w:tc>
                <w:tcPr>
                  <w:tcW w:w="171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总数量</w:t>
                  </w:r>
                </w:p>
              </w:tc>
              <w:tc>
                <w:tcPr>
                  <w:tcW w:w="1117" w:type="dxa"/>
                  <w:vMerge w:val="continue"/>
                  <w:vAlign w:val="center"/>
                </w:tcPr>
                <w:p>
                  <w:pPr>
                    <w:widowControl/>
                    <w:numPr>
                      <w:ilvl w:val="255"/>
                      <w:numId w:val="0"/>
                    </w:numPr>
                    <w:jc w:val="center"/>
                    <w:rPr>
                      <w:rFonts w:ascii="宋体" w:hAnsi="宋体" w:cs="宋体"/>
                      <w:sz w:val="18"/>
                      <w:szCs w:val="18"/>
                      <w:highlight w:val="none"/>
                    </w:rPr>
                  </w:pPr>
                </w:p>
              </w:tc>
              <w:tc>
                <w:tcPr>
                  <w:tcW w:w="767" w:type="dxa"/>
                  <w:vMerge w:val="continue"/>
                  <w:vAlign w:val="center"/>
                </w:tcPr>
                <w:p>
                  <w:pPr>
                    <w:widowControl/>
                    <w:numPr>
                      <w:ilvl w:val="255"/>
                      <w:numId w:val="0"/>
                    </w:numPr>
                    <w:jc w:val="center"/>
                    <w:rPr>
                      <w:rFonts w:ascii="宋体" w:hAnsi="宋体" w:cs="宋体"/>
                      <w:sz w:val="18"/>
                      <w:szCs w:val="18"/>
                      <w:highlight w:val="none"/>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jc w:val="center"/>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1636"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吊车</w:t>
                  </w:r>
                </w:p>
              </w:tc>
              <w:tc>
                <w:tcPr>
                  <w:tcW w:w="1004"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25T</w:t>
                  </w:r>
                </w:p>
              </w:tc>
              <w:tc>
                <w:tcPr>
                  <w:tcW w:w="913"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17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1850" w:type="dxa"/>
                  <w:vMerge w:val="restart"/>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1、此表数量为每段最低要求数量    2、型号规格未做要求的设备按实际施工需求配备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风</w:t>
                  </w:r>
                  <w:r>
                    <w:rPr>
                      <w:rFonts w:hint="eastAsia" w:ascii="宋体" w:hAnsi="宋体" w:cs="宋体"/>
                      <w:bCs/>
                      <w:sz w:val="18"/>
                      <w:szCs w:val="18"/>
                      <w:highlight w:val="none"/>
                    </w:rPr>
                    <w:t>镐</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color w:val="000000"/>
                      <w:sz w:val="18"/>
                      <w:szCs w:val="18"/>
                      <w:highlight w:val="none"/>
                    </w:rPr>
                    <w:t>台</w:t>
                  </w:r>
                </w:p>
              </w:tc>
              <w:tc>
                <w:tcPr>
                  <w:tcW w:w="17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3</w:t>
                  </w: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电焊机</w:t>
                  </w:r>
                </w:p>
              </w:tc>
              <w:tc>
                <w:tcPr>
                  <w:tcW w:w="1004"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套</w:t>
                  </w:r>
                </w:p>
              </w:tc>
              <w:tc>
                <w:tcPr>
                  <w:tcW w:w="17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10</w:t>
                  </w: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4</w:t>
                  </w:r>
                </w:p>
              </w:tc>
              <w:tc>
                <w:tcPr>
                  <w:tcW w:w="1636" w:type="dxa"/>
                  <w:vAlign w:val="center"/>
                </w:tcPr>
                <w:p>
                  <w:pPr>
                    <w:widowControl/>
                    <w:jc w:val="center"/>
                    <w:textAlignment w:val="center"/>
                    <w:rPr>
                      <w:rFonts w:ascii="宋体" w:hAnsi="宋体" w:eastAsia="宋体" w:cs="宋体"/>
                      <w:kern w:val="2"/>
                      <w:sz w:val="18"/>
                      <w:szCs w:val="18"/>
                      <w:highlight w:val="none"/>
                      <w:lang w:val="en-US" w:eastAsia="zh-CN" w:bidi="ar-SA"/>
                    </w:rPr>
                  </w:pPr>
                  <w:r>
                    <w:rPr>
                      <w:rFonts w:hint="eastAsia" w:ascii="宋体" w:hAnsi="宋体" w:cs="宋体"/>
                      <w:color w:val="000000"/>
                      <w:sz w:val="18"/>
                      <w:szCs w:val="18"/>
                      <w:highlight w:val="none"/>
                    </w:rPr>
                    <w:t>空压机</w:t>
                  </w:r>
                </w:p>
              </w:tc>
              <w:tc>
                <w:tcPr>
                  <w:tcW w:w="1004" w:type="dxa"/>
                  <w:vAlign w:val="center"/>
                </w:tcPr>
                <w:p>
                  <w:pPr>
                    <w:widowControl/>
                    <w:jc w:val="center"/>
                    <w:textAlignment w:val="center"/>
                    <w:rPr>
                      <w:rFonts w:ascii="宋体" w:hAnsi="宋体" w:eastAsia="宋体" w:cs="宋体"/>
                      <w:kern w:val="2"/>
                      <w:sz w:val="18"/>
                      <w:szCs w:val="18"/>
                      <w:highlight w:val="none"/>
                      <w:lang w:val="en-US" w:eastAsia="zh-CN" w:bidi="ar-SA"/>
                    </w:rPr>
                  </w:pPr>
                  <w:r>
                    <w:rPr>
                      <w:rFonts w:hint="eastAsia" w:ascii="宋体" w:hAnsi="宋体" w:cs="宋体"/>
                      <w:color w:val="000000"/>
                      <w:sz w:val="18"/>
                      <w:szCs w:val="18"/>
                      <w:highlight w:val="none"/>
                      <w:lang w:val="en-US" w:eastAsia="zh-CN"/>
                    </w:rPr>
                    <w:t>3</w:t>
                  </w:r>
                  <w:r>
                    <w:rPr>
                      <w:rFonts w:hint="eastAsia" w:ascii="宋体" w:hAnsi="宋体" w:cs="宋体"/>
                      <w:color w:val="000000"/>
                      <w:sz w:val="18"/>
                      <w:szCs w:val="18"/>
                      <w:highlight w:val="none"/>
                    </w:rPr>
                    <w:t>m³/min</w:t>
                  </w:r>
                </w:p>
              </w:tc>
              <w:tc>
                <w:tcPr>
                  <w:tcW w:w="913" w:type="dxa"/>
                  <w:vAlign w:val="center"/>
                </w:tcPr>
                <w:p>
                  <w:pPr>
                    <w:widowControl/>
                    <w:jc w:val="center"/>
                    <w:textAlignment w:val="center"/>
                    <w:rPr>
                      <w:rFonts w:ascii="宋体" w:hAnsi="宋体" w:eastAsia="宋体" w:cs="宋体"/>
                      <w:kern w:val="2"/>
                      <w:sz w:val="18"/>
                      <w:szCs w:val="18"/>
                      <w:highlight w:val="none"/>
                      <w:lang w:val="en-US" w:eastAsia="zh-CN" w:bidi="ar-SA"/>
                    </w:rPr>
                  </w:pPr>
                  <w:r>
                    <w:rPr>
                      <w:rFonts w:hint="eastAsia" w:ascii="宋体" w:hAnsi="宋体" w:cs="宋体"/>
                      <w:color w:val="000000"/>
                      <w:sz w:val="18"/>
                      <w:szCs w:val="18"/>
                      <w:highlight w:val="none"/>
                    </w:rPr>
                    <w:t>台</w:t>
                  </w:r>
                </w:p>
              </w:tc>
              <w:tc>
                <w:tcPr>
                  <w:tcW w:w="17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1636"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0号块托架系统</w:t>
                  </w:r>
                </w:p>
              </w:tc>
              <w:tc>
                <w:tcPr>
                  <w:tcW w:w="1004"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套</w:t>
                  </w:r>
                </w:p>
              </w:tc>
              <w:tc>
                <w:tcPr>
                  <w:tcW w:w="1716"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1117"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6</w:t>
                  </w:r>
                </w:p>
              </w:tc>
              <w:tc>
                <w:tcPr>
                  <w:tcW w:w="1636"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塔吊</w:t>
                  </w:r>
                </w:p>
              </w:tc>
              <w:tc>
                <w:tcPr>
                  <w:tcW w:w="1004" w:type="dxa"/>
                  <w:vAlign w:val="center"/>
                </w:tcPr>
                <w:p>
                  <w:pPr>
                    <w:widowControl/>
                    <w:jc w:val="center"/>
                    <w:textAlignment w:val="center"/>
                    <w:rPr>
                      <w:rFonts w:ascii="宋体" w:hAnsi="宋体" w:eastAsia="宋体" w:cs="宋体"/>
                      <w:color w:val="auto"/>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台</w:t>
                  </w:r>
                </w:p>
              </w:tc>
              <w:tc>
                <w:tcPr>
                  <w:tcW w:w="1716"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1117"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767"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7</w:t>
                  </w:r>
                </w:p>
              </w:tc>
              <w:tc>
                <w:tcPr>
                  <w:tcW w:w="1636"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挂篮内模</w:t>
                  </w:r>
                </w:p>
              </w:tc>
              <w:tc>
                <w:tcPr>
                  <w:tcW w:w="1004"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p>
              </w:tc>
              <w:tc>
                <w:tcPr>
                  <w:tcW w:w="913"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套</w:t>
                  </w:r>
                </w:p>
              </w:tc>
              <w:tc>
                <w:tcPr>
                  <w:tcW w:w="1716"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4</w:t>
                  </w:r>
                </w:p>
              </w:tc>
              <w:tc>
                <w:tcPr>
                  <w:tcW w:w="111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8</w:t>
                  </w:r>
                </w:p>
              </w:tc>
              <w:tc>
                <w:tcPr>
                  <w:tcW w:w="1636"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液压爬模内模</w:t>
                  </w:r>
                </w:p>
              </w:tc>
              <w:tc>
                <w:tcPr>
                  <w:tcW w:w="1004" w:type="dxa"/>
                  <w:vAlign w:val="center"/>
                </w:tcPr>
                <w:p>
                  <w:pPr>
                    <w:widowControl/>
                    <w:jc w:val="center"/>
                    <w:textAlignment w:val="center"/>
                    <w:rPr>
                      <w:rFonts w:ascii="宋体" w:hAnsi="宋体" w:eastAsia="宋体" w:cs="宋体"/>
                      <w:color w:val="auto"/>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套</w:t>
                  </w:r>
                </w:p>
              </w:tc>
              <w:tc>
                <w:tcPr>
                  <w:tcW w:w="1716"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111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jc w:val="center"/>
              </w:trPr>
              <w:tc>
                <w:tcPr>
                  <w:tcW w:w="645"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9</w:t>
                  </w:r>
                </w:p>
              </w:tc>
              <w:tc>
                <w:tcPr>
                  <w:tcW w:w="1636"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智能张拉设备</w:t>
                  </w:r>
                </w:p>
              </w:tc>
              <w:tc>
                <w:tcPr>
                  <w:tcW w:w="1004" w:type="dxa"/>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600T</w:t>
                  </w:r>
                </w:p>
              </w:tc>
              <w:tc>
                <w:tcPr>
                  <w:tcW w:w="913" w:type="dxa"/>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套</w:t>
                  </w:r>
                </w:p>
              </w:tc>
              <w:tc>
                <w:tcPr>
                  <w:tcW w:w="1716" w:type="dxa"/>
                  <w:vAlign w:val="center"/>
                </w:tcPr>
                <w:p>
                  <w:pPr>
                    <w:widowControl/>
                    <w:numPr>
                      <w:ilvl w:val="255"/>
                      <w:numId w:val="0"/>
                    </w:numPr>
                    <w:ind w:left="0" w:leftChars="0" w:firstLine="0" w:firstLineChars="0"/>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1117"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1</w:t>
                  </w: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645"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10</w:t>
                  </w:r>
                </w:p>
              </w:tc>
              <w:tc>
                <w:tcPr>
                  <w:tcW w:w="1636" w:type="dxa"/>
                  <w:vAlign w:val="center"/>
                </w:tcPr>
                <w:p>
                  <w:pPr>
                    <w:widowControl/>
                    <w:jc w:val="center"/>
                    <w:textAlignment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水泵</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台</w:t>
                  </w:r>
                </w:p>
              </w:tc>
              <w:tc>
                <w:tcPr>
                  <w:tcW w:w="17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w:t>
                  </w:r>
                </w:p>
              </w:tc>
              <w:tc>
                <w:tcPr>
                  <w:tcW w:w="111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76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645"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11</w:t>
                  </w:r>
                </w:p>
              </w:tc>
              <w:tc>
                <w:tcPr>
                  <w:tcW w:w="1636"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真空循环压智能压浆设备</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套</w:t>
                  </w:r>
                </w:p>
              </w:tc>
              <w:tc>
                <w:tcPr>
                  <w:tcW w:w="17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111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76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645"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12</w:t>
                  </w:r>
                </w:p>
              </w:tc>
              <w:tc>
                <w:tcPr>
                  <w:tcW w:w="1636"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千斤顶</w:t>
                  </w:r>
                </w:p>
              </w:tc>
              <w:tc>
                <w:tcPr>
                  <w:tcW w:w="1004"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100</w:t>
                  </w:r>
                  <w:r>
                    <w:rPr>
                      <w:rFonts w:hint="eastAsia" w:ascii="宋体" w:hAnsi="宋体" w:cs="宋体"/>
                      <w:color w:val="auto"/>
                      <w:kern w:val="2"/>
                      <w:sz w:val="18"/>
                      <w:szCs w:val="18"/>
                      <w:highlight w:val="none"/>
                      <w:lang w:val="en-US" w:eastAsia="zh-CN" w:bidi="ar-SA"/>
                    </w:rPr>
                    <w:t>T</w:t>
                  </w:r>
                </w:p>
              </w:tc>
              <w:tc>
                <w:tcPr>
                  <w:tcW w:w="913"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台</w:t>
                  </w:r>
                </w:p>
              </w:tc>
              <w:tc>
                <w:tcPr>
                  <w:tcW w:w="17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12</w:t>
                  </w:r>
                </w:p>
              </w:tc>
              <w:tc>
                <w:tcPr>
                  <w:tcW w:w="111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76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645"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13</w:t>
                  </w:r>
                </w:p>
              </w:tc>
              <w:tc>
                <w:tcPr>
                  <w:tcW w:w="1636"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卷扬机</w:t>
                  </w:r>
                </w:p>
              </w:tc>
              <w:tc>
                <w:tcPr>
                  <w:tcW w:w="1004"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5</w:t>
                  </w:r>
                  <w:r>
                    <w:rPr>
                      <w:rFonts w:hint="eastAsia" w:ascii="宋体" w:hAnsi="宋体" w:cs="宋体"/>
                      <w:color w:val="auto"/>
                      <w:kern w:val="2"/>
                      <w:sz w:val="18"/>
                      <w:szCs w:val="18"/>
                      <w:highlight w:val="none"/>
                      <w:lang w:val="en-US" w:eastAsia="zh-CN" w:bidi="ar-SA"/>
                    </w:rPr>
                    <w:t>T</w:t>
                  </w:r>
                </w:p>
              </w:tc>
              <w:tc>
                <w:tcPr>
                  <w:tcW w:w="913" w:type="dxa"/>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台</w:t>
                  </w:r>
                </w:p>
              </w:tc>
              <w:tc>
                <w:tcPr>
                  <w:tcW w:w="17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111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76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645" w:type="dxa"/>
                  <w:vAlign w:val="center"/>
                </w:tcPr>
                <w:p>
                  <w:pPr>
                    <w:widowControl/>
                    <w:numPr>
                      <w:ilvl w:val="255"/>
                      <w:numId w:val="0"/>
                    </w:numPr>
                    <w:jc w:val="center"/>
                    <w:rPr>
                      <w:rFonts w:ascii="宋体" w:hAnsi="宋体" w:cs="宋体"/>
                      <w:sz w:val="18"/>
                      <w:szCs w:val="18"/>
                      <w:highlight w:val="none"/>
                    </w:rPr>
                  </w:pPr>
                </w:p>
              </w:tc>
              <w:tc>
                <w:tcPr>
                  <w:tcW w:w="1636" w:type="dxa"/>
                  <w:vAlign w:val="center"/>
                </w:tcPr>
                <w:p>
                  <w:pPr>
                    <w:widowControl/>
                    <w:jc w:val="center"/>
                    <w:textAlignment w:val="center"/>
                    <w:rPr>
                      <w:rFonts w:hint="eastAsia" w:ascii="宋体" w:hAnsi="宋体" w:cs="宋体"/>
                      <w:sz w:val="18"/>
                      <w:szCs w:val="18"/>
                      <w:highlight w:val="none"/>
                    </w:rPr>
                  </w:pP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cs="宋体"/>
                      <w:sz w:val="18"/>
                      <w:szCs w:val="18"/>
                      <w:highlight w:val="none"/>
                    </w:rPr>
                  </w:pPr>
                </w:p>
              </w:tc>
              <w:tc>
                <w:tcPr>
                  <w:tcW w:w="17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767" w:type="dxa"/>
                  <w:vAlign w:val="center"/>
                </w:tcPr>
                <w:p>
                  <w:pPr>
                    <w:widowControl/>
                    <w:numPr>
                      <w:ilvl w:val="255"/>
                      <w:numId w:val="0"/>
                    </w:numPr>
                    <w:jc w:val="center"/>
                    <w:rPr>
                      <w:rFonts w:hint="eastAsia" w:ascii="宋体" w:hAnsi="宋体" w:cs="宋体"/>
                      <w:sz w:val="18"/>
                      <w:szCs w:val="18"/>
                      <w:highlight w:val="none"/>
                      <w:lang w:val="en-US" w:eastAsia="zh-CN"/>
                    </w:rPr>
                  </w:pPr>
                </w:p>
              </w:tc>
              <w:tc>
                <w:tcPr>
                  <w:tcW w:w="1850"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sz w:val="18"/>
          <w:szCs w:val="18"/>
          <w:highlight w:val="none"/>
        </w:rPr>
      </w:pPr>
      <w:r>
        <w:rPr>
          <w:rFonts w:hint="eastAsia"/>
          <w:sz w:val="18"/>
          <w:szCs w:val="18"/>
          <w:highlight w:val="none"/>
        </w:rPr>
        <w:t>注：</w:t>
      </w:r>
      <w:r>
        <w:rPr>
          <w:rFonts w:hint="eastAsia" w:ascii="宋体" w:hAnsi="宋体" w:cs="宋体"/>
          <w:sz w:val="18"/>
          <w:szCs w:val="18"/>
          <w:highlight w:val="none"/>
        </w:rPr>
        <w:t>1、若监理工程师或招标人认为投标人配备的机械设备不能满足现场施工的需要，或不能保证工程质量和进度时，招标人有权要求投标人增加。</w:t>
      </w:r>
    </w:p>
    <w:p>
      <w:pPr>
        <w:pStyle w:val="2"/>
        <w:numPr>
          <w:ilvl w:val="0"/>
          <w:numId w:val="0"/>
        </w:numPr>
        <w:jc w:val="left"/>
        <w:rPr>
          <w:rFonts w:hint="eastAsia" w:ascii="宋体" w:hAnsi="宋体" w:eastAsia="宋体" w:cs="宋体"/>
          <w:b/>
          <w:sz w:val="28"/>
          <w:szCs w:val="28"/>
          <w:highlight w:val="none"/>
        </w:rPr>
      </w:pPr>
      <w:r>
        <w:rPr>
          <w:rFonts w:hint="eastAsia" w:ascii="宋体" w:hAnsi="宋体" w:eastAsia="宋体" w:cs="宋体"/>
          <w:kern w:val="2"/>
          <w:sz w:val="18"/>
          <w:szCs w:val="18"/>
          <w:highlight w:val="none"/>
          <w:lang w:val="en-US" w:eastAsia="zh-CN" w:bidi="ar-SA"/>
        </w:rPr>
        <w:t>2、本表</w:t>
      </w:r>
      <w:r>
        <w:rPr>
          <w:rFonts w:hint="eastAsia" w:ascii="宋体" w:hAnsi="宋体" w:eastAsia="宋体" w:cs="宋体"/>
          <w:sz w:val="18"/>
          <w:szCs w:val="18"/>
          <w:highlight w:val="none"/>
        </w:rPr>
        <w:t>中的总数量为承包人中标后向发包人承诺的投入最低设备要求，并以书面形式纳入合同附件。</w:t>
      </w:r>
      <w:bookmarkStart w:id="1" w:name="_Toc3057"/>
    </w:p>
    <w:p>
      <w:pPr>
        <w:rPr>
          <w:rFonts w:hint="eastAsia" w:ascii="宋体" w:hAnsi="宋体" w:eastAsia="宋体" w:cs="宋体"/>
          <w:sz w:val="18"/>
          <w:szCs w:val="18"/>
          <w:highlight w:val="none"/>
        </w:rPr>
      </w:pPr>
    </w:p>
    <w:p>
      <w:pPr>
        <w:pStyle w:val="3"/>
        <w:rPr>
          <w:rFonts w:hint="eastAsia"/>
        </w:rPr>
      </w:pPr>
    </w:p>
    <w:p>
      <w:pPr>
        <w:rPr>
          <w:rFonts w:hint="eastAsia"/>
        </w:rPr>
      </w:pPr>
    </w:p>
    <w:p>
      <w:pPr>
        <w:pStyle w:val="2"/>
        <w:ind w:firstLine="0"/>
        <w:jc w:val="left"/>
        <w:rPr>
          <w:rFonts w:hint="eastAsia" w:ascii="宋体" w:hAnsi="宋体" w:eastAsia="宋体" w:cs="宋体"/>
          <w:b/>
          <w:sz w:val="28"/>
          <w:szCs w:val="28"/>
          <w:highlight w:val="none"/>
        </w:rPr>
      </w:pPr>
    </w:p>
    <w:p>
      <w:pPr>
        <w:pStyle w:val="2"/>
        <w:ind w:firstLine="0"/>
        <w:jc w:val="left"/>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附表</w:t>
      </w:r>
      <w:r>
        <w:rPr>
          <w:rFonts w:hint="eastAsia" w:ascii="宋体" w:hAnsi="宋体" w:eastAsia="宋体" w:cs="宋体"/>
          <w:b/>
          <w:sz w:val="28"/>
          <w:szCs w:val="28"/>
          <w:highlight w:val="none"/>
          <w:lang w:val="en-US" w:eastAsia="zh-CN"/>
        </w:rPr>
        <w:t>五</w:t>
      </w: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G</w:t>
            </w:r>
            <w:r>
              <w:rPr>
                <w:rFonts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t>京昆高速公路绵阳至成都段扩容项目</w:t>
            </w:r>
            <w:r>
              <w:rPr>
                <w:rFonts w:hint="eastAsia" w:ascii="仿宋" w:hAnsi="仿宋" w:eastAsia="仿宋" w:cs="仿宋"/>
                <w:b/>
                <w:bCs/>
                <w:color w:val="auto"/>
                <w:sz w:val="28"/>
                <w:szCs w:val="28"/>
                <w:highlight w:val="none"/>
                <w:lang w:eastAsia="zh-CN"/>
              </w:rPr>
              <w:t>TJ2合同段</w:t>
            </w:r>
          </w:p>
          <w:p>
            <w:pPr>
              <w:widowControl/>
              <w:jc w:val="center"/>
              <w:textAlignment w:val="center"/>
              <w:rPr>
                <w:rFonts w:ascii="仿宋" w:hAnsi="仿宋" w:eastAsia="仿宋" w:cs="仿宋"/>
                <w:b/>
                <w:color w:val="auto"/>
                <w:kern w:val="0"/>
                <w:sz w:val="28"/>
                <w:szCs w:val="28"/>
                <w:highlight w:val="none"/>
                <w:lang w:bidi="ar"/>
              </w:rPr>
            </w:pPr>
            <w:r>
              <w:rPr>
                <w:rFonts w:hint="eastAsia" w:ascii="仿宋" w:hAnsi="仿宋" w:eastAsia="仿宋" w:cs="仿宋"/>
                <w:b/>
                <w:bCs/>
                <w:color w:val="auto"/>
                <w:sz w:val="28"/>
                <w:szCs w:val="28"/>
                <w:highlight w:val="none"/>
                <w:lang w:val="en-US" w:eastAsia="zh-CN"/>
              </w:rPr>
              <w:t>凯江大桥工程甲供</w:t>
            </w:r>
            <w:r>
              <w:rPr>
                <w:rFonts w:hint="eastAsia" w:ascii="仿宋" w:hAnsi="仿宋" w:eastAsia="仿宋" w:cs="仿宋"/>
                <w:b/>
                <w:color w:val="auto"/>
                <w:kern w:val="0"/>
                <w:sz w:val="28"/>
                <w:szCs w:val="28"/>
                <w:highlight w:val="none"/>
                <w:lang w:bidi="ar"/>
              </w:rPr>
              <w:t>设备明细表</w:t>
            </w:r>
          </w:p>
          <w:p>
            <w:pPr>
              <w:widowControl/>
              <w:jc w:val="center"/>
              <w:textAlignment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（适用于</w:t>
            </w:r>
            <w:r>
              <w:rPr>
                <w:rFonts w:hint="eastAsia" w:ascii="宋体" w:hAnsi="宋体" w:cs="宋体"/>
                <w:b/>
                <w:sz w:val="28"/>
                <w:szCs w:val="28"/>
                <w:highlight w:val="none"/>
                <w:lang w:val="en-US" w:eastAsia="zh-CN"/>
              </w:rPr>
              <w:t>1分段</w:t>
            </w:r>
            <w:r>
              <w:rPr>
                <w:rFonts w:hint="eastAsia" w:ascii="宋体" w:hAnsi="宋体" w:cs="宋体"/>
                <w:b/>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Spec="center" w:tblpY="-2073"/>
              <w:tblOverlap w:val="never"/>
              <w:tblW w:w="87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787"/>
              <w:gridCol w:w="1556"/>
              <w:gridCol w:w="244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787"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55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2445" w:type="dxa"/>
                  <w:tcBorders>
                    <w:right w:val="single" w:color="auto" w:sz="4" w:space="0"/>
                  </w:tcBorders>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设备数量</w:t>
                  </w:r>
                </w:p>
              </w:tc>
              <w:tc>
                <w:tcPr>
                  <w:tcW w:w="2265" w:type="dxa"/>
                  <w:tcBorders>
                    <w:left w:val="single" w:color="auto" w:sz="4" w:space="0"/>
                  </w:tcBorders>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3"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w:t>
                  </w:r>
                </w:p>
              </w:tc>
              <w:tc>
                <w:tcPr>
                  <w:tcW w:w="1787" w:type="dxa"/>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施工电梯</w:t>
                  </w:r>
                </w:p>
              </w:tc>
              <w:tc>
                <w:tcPr>
                  <w:tcW w:w="1556" w:type="dxa"/>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台</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2265" w:type="dxa"/>
                  <w:vMerge w:val="restart"/>
                  <w:vAlign w:val="center"/>
                </w:tcPr>
                <w:p>
                  <w:pPr>
                    <w:widowControl/>
                    <w:numPr>
                      <w:ilvl w:val="255"/>
                      <w:numId w:val="0"/>
                    </w:numPr>
                    <w:jc w:val="center"/>
                    <w:rPr>
                      <w:rFonts w:hint="default" w:ascii="宋体" w:hAnsi="宋体" w:cs="宋体"/>
                      <w:sz w:val="18"/>
                      <w:szCs w:val="18"/>
                      <w:highlight w:val="none"/>
                      <w:lang w:val="en-US"/>
                    </w:rPr>
                  </w:pPr>
                  <w:r>
                    <w:rPr>
                      <w:rFonts w:hint="eastAsia" w:ascii="宋体" w:hAnsi="宋体" w:cs="宋体"/>
                      <w:sz w:val="18"/>
                      <w:szCs w:val="18"/>
                      <w:highlight w:val="none"/>
                      <w:lang w:val="en-US" w:eastAsia="zh-CN"/>
                    </w:rPr>
                    <w:t xml:space="preserve">型号规格按实际施工需求配备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w:t>
                  </w:r>
                </w:p>
              </w:tc>
              <w:tc>
                <w:tcPr>
                  <w:tcW w:w="1787"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液压爬模</w:t>
                  </w:r>
                </w:p>
              </w:tc>
              <w:tc>
                <w:tcPr>
                  <w:tcW w:w="1556"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w:t>
                  </w:r>
                </w:p>
              </w:tc>
              <w:tc>
                <w:tcPr>
                  <w:tcW w:w="1787"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挂篮</w:t>
                  </w:r>
                </w:p>
              </w:tc>
              <w:tc>
                <w:tcPr>
                  <w:tcW w:w="1556"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对</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703"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4</w:t>
                  </w:r>
                </w:p>
              </w:tc>
              <w:tc>
                <w:tcPr>
                  <w:tcW w:w="178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发电设备</w:t>
                  </w:r>
                </w:p>
              </w:tc>
              <w:tc>
                <w:tcPr>
                  <w:tcW w:w="1556"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台</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c>
                <w:tcPr>
                  <w:tcW w:w="1787"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移动式混凝土输送泵</w:t>
                  </w:r>
                  <w:r>
                    <w:rPr>
                      <w:rFonts w:hint="eastAsia" w:ascii="宋体" w:hAnsi="宋体" w:cs="宋体"/>
                      <w:color w:val="auto"/>
                      <w:sz w:val="18"/>
                      <w:szCs w:val="18"/>
                      <w:highlight w:val="none"/>
                      <w:lang w:val="en-US" w:eastAsia="zh-CN"/>
                    </w:rPr>
                    <w:t>设备</w:t>
                  </w:r>
                </w:p>
              </w:tc>
              <w:tc>
                <w:tcPr>
                  <w:tcW w:w="1556"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bCs/>
                      <w:color w:val="auto"/>
                      <w:sz w:val="18"/>
                      <w:szCs w:val="18"/>
                      <w:highlight w:val="none"/>
                    </w:rPr>
                    <w:t>台</w:t>
                  </w:r>
                </w:p>
              </w:tc>
              <w:tc>
                <w:tcPr>
                  <w:tcW w:w="2445" w:type="dxa"/>
                  <w:vAlign w:val="center"/>
                </w:tcPr>
                <w:p>
                  <w:pPr>
                    <w:widowControl/>
                    <w:numPr>
                      <w:ilvl w:val="255"/>
                      <w:numId w:val="0"/>
                    </w:num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3" w:hRule="atLeast"/>
              </w:trPr>
              <w:tc>
                <w:tcPr>
                  <w:tcW w:w="703"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w:t>
                  </w:r>
                </w:p>
              </w:tc>
              <w:tc>
                <w:tcPr>
                  <w:tcW w:w="1787" w:type="dxa"/>
                  <w:vAlign w:val="center"/>
                </w:tcPr>
                <w:p>
                  <w:pPr>
                    <w:widowControl/>
                    <w:numPr>
                      <w:ilvl w:val="255"/>
                      <w:numId w:val="0"/>
                    </w:numPr>
                    <w:ind w:left="0" w:leftChars="0" w:firstLine="0" w:firstLineChars="0"/>
                    <w:jc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承台模板</w:t>
                  </w:r>
                </w:p>
              </w:tc>
              <w:tc>
                <w:tcPr>
                  <w:tcW w:w="1556"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7</w:t>
                  </w:r>
                </w:p>
              </w:tc>
              <w:tc>
                <w:tcPr>
                  <w:tcW w:w="1787" w:type="dxa"/>
                  <w:vAlign w:val="center"/>
                </w:tcPr>
                <w:p>
                  <w:pPr>
                    <w:spacing w:line="400" w:lineRule="exact"/>
                    <w:jc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圆柱墩、系梁模板</w:t>
                  </w:r>
                </w:p>
              </w:tc>
              <w:tc>
                <w:tcPr>
                  <w:tcW w:w="1556" w:type="dxa"/>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spacing w:line="440" w:lineRule="exact"/>
                    <w:jc w:val="center"/>
                    <w:rPr>
                      <w:rFonts w:ascii="宋体" w:hAnsi="宋体" w:cs="宋体"/>
                      <w:kern w:val="0"/>
                      <w:sz w:val="18"/>
                      <w:szCs w:val="18"/>
                      <w:highlight w:val="none"/>
                    </w:rPr>
                  </w:pPr>
                </w:p>
              </w:tc>
              <w:tc>
                <w:tcPr>
                  <w:tcW w:w="1556" w:type="dxa"/>
                  <w:vAlign w:val="center"/>
                </w:tcPr>
                <w:p>
                  <w:pPr>
                    <w:jc w:val="center"/>
                    <w:rPr>
                      <w:rFonts w:ascii="宋体" w:hAnsi="宋体" w:cs="宋体"/>
                      <w:bCs/>
                      <w:sz w:val="18"/>
                      <w:szCs w:val="18"/>
                      <w:highlight w:val="none"/>
                    </w:rPr>
                  </w:pPr>
                </w:p>
              </w:tc>
              <w:tc>
                <w:tcPr>
                  <w:tcW w:w="2445" w:type="dxa"/>
                  <w:vAlign w:val="center"/>
                </w:tcPr>
                <w:p>
                  <w:pPr>
                    <w:spacing w:line="440" w:lineRule="exact"/>
                    <w:jc w:val="center"/>
                    <w:rPr>
                      <w:rFonts w:ascii="宋体" w:hAnsi="宋体" w:cs="宋体"/>
                      <w:bCs/>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color w:val="auto"/>
          <w:sz w:val="18"/>
          <w:szCs w:val="18"/>
          <w:highlight w:val="none"/>
        </w:rPr>
      </w:pPr>
      <w:r>
        <w:rPr>
          <w:rFonts w:hint="eastAsia"/>
          <w:color w:val="auto"/>
          <w:sz w:val="18"/>
          <w:szCs w:val="18"/>
          <w:highlight w:val="none"/>
        </w:rPr>
        <w:t>注：</w:t>
      </w: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挂篮的桁架系统、外模板由招标人负责提供，投标人负责按设计图纸进行挂篮设备安拆</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调试，模板的安拆</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模板保养</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改制和维修</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涂脱模剂，内模及翼板支架及脚手架安拆</w:t>
      </w:r>
      <w:r>
        <w:rPr>
          <w:rFonts w:hint="eastAsia" w:ascii="宋体" w:hAnsi="宋体" w:cs="宋体"/>
          <w:color w:val="auto"/>
          <w:sz w:val="18"/>
          <w:szCs w:val="18"/>
          <w:highlight w:val="none"/>
        </w:rPr>
        <w:t>。</w:t>
      </w:r>
    </w:p>
    <w:p>
      <w:pPr>
        <w:pStyle w:val="2"/>
        <w:numPr>
          <w:ilvl w:val="0"/>
          <w:numId w:val="0"/>
        </w:num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2、液压爬模的液压系统、外模板由招标人负责提供，投标人负责按设计图纸进行爬模的支架搭拆，模板安拆、模板保养、改制和维修、涂脱模剂。</w:t>
      </w:r>
    </w:p>
    <w:p>
      <w:pPr>
        <w:pStyle w:val="2"/>
        <w:numPr>
          <w:ilvl w:val="0"/>
          <w:numId w:val="0"/>
        </w:num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3、投标人在施工使用过程中，重视甲供设备的维护和保养，若发现存在不珍惜行为，招标人有权要求投标人按价赔偿。</w:t>
      </w:r>
    </w:p>
    <w:p>
      <w:pPr>
        <w:rPr>
          <w:rFonts w:hint="eastAsia"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4、除甲供设备外其余施工所需的设备及周转材料均由投标人负责提供，费用包含在综合单价中</w:t>
      </w:r>
      <w:bookmarkStart w:id="2" w:name="_Toc20191"/>
    </w:p>
    <w:p>
      <w:pPr>
        <w:pStyle w:val="2"/>
        <w:rPr>
          <w:rFonts w:hint="eastAsia"/>
        </w:rPr>
      </w:pPr>
    </w:p>
    <w:p>
      <w:pPr>
        <w:rPr>
          <w:rFonts w:hint="eastAsia"/>
        </w:rPr>
      </w:pPr>
    </w:p>
    <w:p>
      <w:pPr>
        <w:pStyle w:val="2"/>
        <w:rPr>
          <w:rFonts w:hint="eastAsia"/>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G</w:t>
            </w:r>
            <w:r>
              <w:rPr>
                <w:rFonts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t>京昆高速公路绵阳至成都段扩容项目</w:t>
            </w:r>
            <w:r>
              <w:rPr>
                <w:rFonts w:hint="eastAsia" w:ascii="仿宋" w:hAnsi="仿宋" w:eastAsia="仿宋" w:cs="仿宋"/>
                <w:b/>
                <w:bCs/>
                <w:color w:val="auto"/>
                <w:sz w:val="28"/>
                <w:szCs w:val="28"/>
                <w:highlight w:val="none"/>
                <w:lang w:eastAsia="zh-CN"/>
              </w:rPr>
              <w:t>TJ2合同段</w:t>
            </w:r>
          </w:p>
          <w:p>
            <w:pPr>
              <w:widowControl/>
              <w:jc w:val="center"/>
              <w:textAlignment w:val="center"/>
              <w:rPr>
                <w:rFonts w:ascii="仿宋" w:hAnsi="仿宋" w:eastAsia="仿宋" w:cs="仿宋"/>
                <w:b/>
                <w:color w:val="auto"/>
                <w:kern w:val="0"/>
                <w:sz w:val="28"/>
                <w:szCs w:val="28"/>
                <w:highlight w:val="none"/>
                <w:lang w:bidi="ar"/>
              </w:rPr>
            </w:pPr>
            <w:r>
              <w:rPr>
                <w:rFonts w:hint="eastAsia" w:ascii="仿宋" w:hAnsi="仿宋" w:eastAsia="仿宋" w:cs="仿宋"/>
                <w:b/>
                <w:bCs/>
                <w:color w:val="auto"/>
                <w:sz w:val="28"/>
                <w:szCs w:val="28"/>
                <w:highlight w:val="none"/>
                <w:lang w:val="en-US" w:eastAsia="zh-CN"/>
              </w:rPr>
              <w:t>凯江大桥工程甲供</w:t>
            </w:r>
            <w:r>
              <w:rPr>
                <w:rFonts w:hint="eastAsia" w:ascii="仿宋" w:hAnsi="仿宋" w:eastAsia="仿宋" w:cs="仿宋"/>
                <w:b/>
                <w:color w:val="auto"/>
                <w:kern w:val="0"/>
                <w:sz w:val="28"/>
                <w:szCs w:val="28"/>
                <w:highlight w:val="none"/>
                <w:lang w:bidi="ar"/>
              </w:rPr>
              <w:t>设备明细表</w:t>
            </w:r>
          </w:p>
          <w:p>
            <w:pPr>
              <w:widowControl/>
              <w:jc w:val="center"/>
              <w:textAlignment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（适用于</w:t>
            </w:r>
            <w:r>
              <w:rPr>
                <w:rFonts w:hint="eastAsia" w:ascii="宋体" w:hAnsi="宋体" w:cs="宋体"/>
                <w:b/>
                <w:sz w:val="28"/>
                <w:szCs w:val="28"/>
                <w:highlight w:val="none"/>
                <w:lang w:val="en-US" w:eastAsia="zh-CN"/>
              </w:rPr>
              <w:t>2分段</w:t>
            </w:r>
            <w:r>
              <w:rPr>
                <w:rFonts w:hint="eastAsia" w:ascii="宋体" w:hAnsi="宋体" w:cs="宋体"/>
                <w:b/>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Spec="center" w:tblpY="-2073"/>
              <w:tblOverlap w:val="never"/>
              <w:tblW w:w="87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787"/>
              <w:gridCol w:w="1556"/>
              <w:gridCol w:w="244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787"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55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2445" w:type="dxa"/>
                  <w:tcBorders>
                    <w:right w:val="single" w:color="auto" w:sz="4" w:space="0"/>
                  </w:tcBorders>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设备数量</w:t>
                  </w:r>
                </w:p>
              </w:tc>
              <w:tc>
                <w:tcPr>
                  <w:tcW w:w="2265" w:type="dxa"/>
                  <w:tcBorders>
                    <w:left w:val="single" w:color="auto" w:sz="4" w:space="0"/>
                  </w:tcBorders>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3"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w:t>
                  </w:r>
                </w:p>
              </w:tc>
              <w:tc>
                <w:tcPr>
                  <w:tcW w:w="1787" w:type="dxa"/>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施工电梯</w:t>
                  </w:r>
                </w:p>
              </w:tc>
              <w:tc>
                <w:tcPr>
                  <w:tcW w:w="1556" w:type="dxa"/>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台</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restart"/>
                  <w:vAlign w:val="center"/>
                </w:tcPr>
                <w:p>
                  <w:pPr>
                    <w:widowControl/>
                    <w:numPr>
                      <w:ilvl w:val="255"/>
                      <w:numId w:val="0"/>
                    </w:numPr>
                    <w:jc w:val="center"/>
                    <w:rPr>
                      <w:rFonts w:hint="default" w:ascii="宋体" w:hAnsi="宋体" w:cs="宋体"/>
                      <w:sz w:val="18"/>
                      <w:szCs w:val="18"/>
                      <w:highlight w:val="none"/>
                      <w:lang w:val="en-US"/>
                    </w:rPr>
                  </w:pPr>
                  <w:r>
                    <w:rPr>
                      <w:rFonts w:hint="eastAsia" w:ascii="宋体" w:hAnsi="宋体" w:cs="宋体"/>
                      <w:sz w:val="18"/>
                      <w:szCs w:val="18"/>
                      <w:highlight w:val="none"/>
                      <w:lang w:val="en-US" w:eastAsia="zh-CN"/>
                    </w:rPr>
                    <w:t xml:space="preserve">型号规格按实际施工需求配备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w:t>
                  </w:r>
                </w:p>
              </w:tc>
              <w:tc>
                <w:tcPr>
                  <w:tcW w:w="1787"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液压爬模</w:t>
                  </w:r>
                </w:p>
              </w:tc>
              <w:tc>
                <w:tcPr>
                  <w:tcW w:w="1556"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w:t>
                  </w:r>
                </w:p>
              </w:tc>
              <w:tc>
                <w:tcPr>
                  <w:tcW w:w="1787"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挂篮</w:t>
                  </w:r>
                </w:p>
              </w:tc>
              <w:tc>
                <w:tcPr>
                  <w:tcW w:w="1556" w:type="dxa"/>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对</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703"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4</w:t>
                  </w:r>
                </w:p>
              </w:tc>
              <w:tc>
                <w:tcPr>
                  <w:tcW w:w="1787"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发电设备</w:t>
                  </w:r>
                </w:p>
              </w:tc>
              <w:tc>
                <w:tcPr>
                  <w:tcW w:w="1556"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台</w:t>
                  </w:r>
                </w:p>
              </w:tc>
              <w:tc>
                <w:tcPr>
                  <w:tcW w:w="2445" w:type="dxa"/>
                  <w:vAlign w:val="center"/>
                </w:tcPr>
                <w:p>
                  <w:pPr>
                    <w:widowControl/>
                    <w:numPr>
                      <w:ilvl w:val="255"/>
                      <w:numId w:val="0"/>
                    </w:numPr>
                    <w:ind w:left="0" w:leftChars="0"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c>
                <w:tcPr>
                  <w:tcW w:w="1787"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移动式混凝土输送泵</w:t>
                  </w:r>
                  <w:r>
                    <w:rPr>
                      <w:rFonts w:hint="eastAsia" w:ascii="宋体" w:hAnsi="宋体" w:cs="宋体"/>
                      <w:color w:val="auto"/>
                      <w:sz w:val="18"/>
                      <w:szCs w:val="18"/>
                      <w:highlight w:val="none"/>
                      <w:lang w:val="en-US" w:eastAsia="zh-CN"/>
                    </w:rPr>
                    <w:t>设备</w:t>
                  </w:r>
                </w:p>
              </w:tc>
              <w:tc>
                <w:tcPr>
                  <w:tcW w:w="1556" w:type="dxa"/>
                  <w:vAlign w:val="center"/>
                </w:tcPr>
                <w:p>
                  <w:pPr>
                    <w:widowControl/>
                    <w:numPr>
                      <w:ilvl w:val="255"/>
                      <w:numId w:val="0"/>
                    </w:numPr>
                    <w:ind w:left="0" w:leftChars="0" w:firstLine="0" w:firstLineChars="0"/>
                    <w:jc w:val="center"/>
                    <w:rPr>
                      <w:rFonts w:hint="eastAsia" w:ascii="宋体" w:hAnsi="宋体" w:eastAsia="宋体" w:cs="宋体"/>
                      <w:color w:val="auto"/>
                      <w:sz w:val="18"/>
                      <w:szCs w:val="18"/>
                      <w:highlight w:val="none"/>
                      <w:lang w:eastAsia="zh-CN"/>
                    </w:rPr>
                  </w:pPr>
                  <w:r>
                    <w:rPr>
                      <w:rFonts w:hint="eastAsia" w:ascii="宋体" w:hAnsi="宋体" w:cs="宋体"/>
                      <w:bCs/>
                      <w:color w:val="auto"/>
                      <w:sz w:val="18"/>
                      <w:szCs w:val="18"/>
                      <w:highlight w:val="none"/>
                    </w:rPr>
                    <w:t>台</w:t>
                  </w:r>
                </w:p>
              </w:tc>
              <w:tc>
                <w:tcPr>
                  <w:tcW w:w="2445" w:type="dxa"/>
                  <w:vAlign w:val="center"/>
                </w:tcPr>
                <w:p>
                  <w:pPr>
                    <w:widowControl/>
                    <w:numPr>
                      <w:ilvl w:val="255"/>
                      <w:numId w:val="0"/>
                    </w:num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3" w:hRule="atLeast"/>
              </w:trPr>
              <w:tc>
                <w:tcPr>
                  <w:tcW w:w="703" w:type="dxa"/>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w:t>
                  </w:r>
                </w:p>
              </w:tc>
              <w:tc>
                <w:tcPr>
                  <w:tcW w:w="1787" w:type="dxa"/>
                  <w:vAlign w:val="center"/>
                </w:tcPr>
                <w:p>
                  <w:pPr>
                    <w:widowControl/>
                    <w:numPr>
                      <w:ilvl w:val="255"/>
                      <w:numId w:val="0"/>
                    </w:numPr>
                    <w:ind w:left="0" w:leftChars="0" w:firstLine="0" w:firstLineChars="0"/>
                    <w:jc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承台模板</w:t>
                  </w:r>
                </w:p>
              </w:tc>
              <w:tc>
                <w:tcPr>
                  <w:tcW w:w="1556" w:type="dxa"/>
                  <w:vAlign w:val="center"/>
                </w:tcPr>
                <w:p>
                  <w:pPr>
                    <w:widowControl/>
                    <w:numPr>
                      <w:ilvl w:val="255"/>
                      <w:numId w:val="0"/>
                    </w:num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703"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7</w:t>
                  </w:r>
                </w:p>
              </w:tc>
              <w:tc>
                <w:tcPr>
                  <w:tcW w:w="1787" w:type="dxa"/>
                  <w:vAlign w:val="center"/>
                </w:tcPr>
                <w:p>
                  <w:pPr>
                    <w:spacing w:line="400" w:lineRule="exact"/>
                    <w:jc w:val="center"/>
                    <w:rPr>
                      <w:rFonts w:ascii="宋体" w:hAnsi="宋体" w:cs="宋体"/>
                      <w:color w:val="auto"/>
                      <w:sz w:val="18"/>
                      <w:szCs w:val="18"/>
                      <w:highlight w:val="none"/>
                    </w:rPr>
                  </w:pPr>
                  <w:r>
                    <w:rPr>
                      <w:rFonts w:hint="eastAsia" w:ascii="宋体" w:hAnsi="宋体" w:cs="宋体"/>
                      <w:color w:val="auto"/>
                      <w:kern w:val="2"/>
                      <w:sz w:val="18"/>
                      <w:szCs w:val="18"/>
                      <w:highlight w:val="none"/>
                      <w:lang w:val="en-US" w:eastAsia="zh-CN" w:bidi="ar-SA"/>
                    </w:rPr>
                    <w:t>圆柱墩、系梁模板</w:t>
                  </w:r>
                </w:p>
              </w:tc>
              <w:tc>
                <w:tcPr>
                  <w:tcW w:w="1556" w:type="dxa"/>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2445" w:type="dxa"/>
                  <w:vAlign w:val="center"/>
                </w:tcPr>
                <w:p>
                  <w:pPr>
                    <w:widowControl/>
                    <w:numPr>
                      <w:ilvl w:val="255"/>
                      <w:numId w:val="0"/>
                    </w:num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widowControl/>
                    <w:numPr>
                      <w:ilvl w:val="255"/>
                      <w:numId w:val="0"/>
                    </w:numPr>
                    <w:jc w:val="center"/>
                    <w:rPr>
                      <w:rFonts w:ascii="宋体" w:hAnsi="宋体" w:cs="宋体"/>
                      <w:sz w:val="18"/>
                      <w:szCs w:val="18"/>
                      <w:highlight w:val="none"/>
                    </w:rPr>
                  </w:pPr>
                </w:p>
              </w:tc>
              <w:tc>
                <w:tcPr>
                  <w:tcW w:w="1556" w:type="dxa"/>
                  <w:vAlign w:val="center"/>
                </w:tcPr>
                <w:p>
                  <w:pPr>
                    <w:widowControl/>
                    <w:numPr>
                      <w:ilvl w:val="255"/>
                      <w:numId w:val="0"/>
                    </w:numPr>
                    <w:jc w:val="center"/>
                    <w:rPr>
                      <w:rFonts w:ascii="宋体" w:hAnsi="宋体" w:cs="宋体"/>
                      <w:sz w:val="18"/>
                      <w:szCs w:val="18"/>
                      <w:highlight w:val="none"/>
                    </w:rPr>
                  </w:pPr>
                </w:p>
              </w:tc>
              <w:tc>
                <w:tcPr>
                  <w:tcW w:w="2445" w:type="dxa"/>
                  <w:vAlign w:val="center"/>
                </w:tcPr>
                <w:p>
                  <w:pPr>
                    <w:widowControl/>
                    <w:numPr>
                      <w:ilvl w:val="255"/>
                      <w:numId w:val="0"/>
                    </w:numPr>
                    <w:jc w:val="center"/>
                    <w:rPr>
                      <w:rFonts w:ascii="宋体" w:hAnsi="宋体" w:cs="宋体"/>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703" w:type="dxa"/>
                  <w:vAlign w:val="center"/>
                </w:tcPr>
                <w:p>
                  <w:pPr>
                    <w:widowControl/>
                    <w:numPr>
                      <w:ilvl w:val="255"/>
                      <w:numId w:val="0"/>
                    </w:numPr>
                    <w:jc w:val="center"/>
                    <w:rPr>
                      <w:rFonts w:ascii="宋体" w:hAnsi="宋体" w:cs="宋体"/>
                      <w:sz w:val="18"/>
                      <w:szCs w:val="18"/>
                      <w:highlight w:val="none"/>
                    </w:rPr>
                  </w:pPr>
                </w:p>
              </w:tc>
              <w:tc>
                <w:tcPr>
                  <w:tcW w:w="1787" w:type="dxa"/>
                  <w:vAlign w:val="center"/>
                </w:tcPr>
                <w:p>
                  <w:pPr>
                    <w:spacing w:line="440" w:lineRule="exact"/>
                    <w:jc w:val="center"/>
                    <w:rPr>
                      <w:rFonts w:ascii="宋体" w:hAnsi="宋体" w:cs="宋体"/>
                      <w:kern w:val="0"/>
                      <w:sz w:val="18"/>
                      <w:szCs w:val="18"/>
                      <w:highlight w:val="none"/>
                    </w:rPr>
                  </w:pPr>
                </w:p>
              </w:tc>
              <w:tc>
                <w:tcPr>
                  <w:tcW w:w="1556" w:type="dxa"/>
                  <w:vAlign w:val="center"/>
                </w:tcPr>
                <w:p>
                  <w:pPr>
                    <w:jc w:val="center"/>
                    <w:rPr>
                      <w:rFonts w:ascii="宋体" w:hAnsi="宋体" w:cs="宋体"/>
                      <w:bCs/>
                      <w:sz w:val="18"/>
                      <w:szCs w:val="18"/>
                      <w:highlight w:val="none"/>
                    </w:rPr>
                  </w:pPr>
                </w:p>
              </w:tc>
              <w:tc>
                <w:tcPr>
                  <w:tcW w:w="2445" w:type="dxa"/>
                  <w:vAlign w:val="center"/>
                </w:tcPr>
                <w:p>
                  <w:pPr>
                    <w:spacing w:line="440" w:lineRule="exact"/>
                    <w:jc w:val="center"/>
                    <w:rPr>
                      <w:rFonts w:ascii="宋体" w:hAnsi="宋体" w:cs="宋体"/>
                      <w:bCs/>
                      <w:sz w:val="18"/>
                      <w:szCs w:val="18"/>
                      <w:highlight w:val="none"/>
                    </w:rPr>
                  </w:pPr>
                </w:p>
              </w:tc>
              <w:tc>
                <w:tcPr>
                  <w:tcW w:w="2265"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color w:val="auto"/>
          <w:sz w:val="18"/>
          <w:szCs w:val="18"/>
          <w:highlight w:val="none"/>
        </w:rPr>
      </w:pPr>
      <w:r>
        <w:rPr>
          <w:rFonts w:hint="eastAsia"/>
          <w:color w:val="auto"/>
          <w:sz w:val="18"/>
          <w:szCs w:val="18"/>
          <w:highlight w:val="none"/>
        </w:rPr>
        <w:t>注：</w:t>
      </w: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挂篮的桁架系统、外模板由招标人负责提供，投标人负责按设计图纸进行挂篮设备安拆</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调试，模板的安拆</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模板保养</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改制和维修</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涂脱模剂，内模及翼板支架及脚手架安拆</w:t>
      </w:r>
      <w:r>
        <w:rPr>
          <w:rFonts w:hint="eastAsia" w:ascii="宋体" w:hAnsi="宋体" w:cs="宋体"/>
          <w:color w:val="auto"/>
          <w:sz w:val="18"/>
          <w:szCs w:val="18"/>
          <w:highlight w:val="none"/>
        </w:rPr>
        <w:t>。</w:t>
      </w:r>
    </w:p>
    <w:p>
      <w:pPr>
        <w:pStyle w:val="2"/>
        <w:numPr>
          <w:ilvl w:val="0"/>
          <w:numId w:val="0"/>
        </w:num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2、液压爬模的液压系统、外模板由招标人负责提供，投标人负责按设计图纸进行爬模的支架搭拆，模板安拆、模板保养、改制和维修、涂脱模剂。</w:t>
      </w:r>
    </w:p>
    <w:p>
      <w:pPr>
        <w:pStyle w:val="2"/>
        <w:numPr>
          <w:ilvl w:val="0"/>
          <w:numId w:val="0"/>
        </w:num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3、投标人在施工使用过程中，重视甲供设备的维护和保养，若发现存在不珍惜行为，招标人有权要求投标人按价赔偿。</w:t>
      </w:r>
    </w:p>
    <w:p>
      <w:pPr>
        <w:rPr>
          <w:rFonts w:hint="eastAsia"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4、除甲供设备外其余施工所需的设备及周转材料均由投标人负责提供，费用包含在综合单价中</w:t>
      </w:r>
    </w:p>
    <w:p>
      <w:pPr>
        <w:rPr>
          <w:rFonts w:hint="eastAsia"/>
        </w:rPr>
      </w:pPr>
    </w:p>
    <w:p>
      <w:pPr>
        <w:pStyle w:val="2"/>
        <w:rPr>
          <w:rFonts w:hint="eastAsia"/>
        </w:rPr>
      </w:pPr>
    </w:p>
    <w:p>
      <w:pPr>
        <w:rPr>
          <w:rFonts w:hint="eastAsia"/>
        </w:rPr>
      </w:pPr>
    </w:p>
    <w:bookmarkEnd w:id="0"/>
    <w:bookmarkEnd w:id="1"/>
    <w:bookmarkEnd w:id="2"/>
    <w:p>
      <w:pPr>
        <w:rPr>
          <w:highlight w:val="none"/>
        </w:rPr>
      </w:pPr>
    </w:p>
    <w:p>
      <w:bookmarkStart w:id="3" w:name="_GoBack"/>
      <w:bookmarkEnd w:id="3"/>
    </w:p>
    <w:sectPr>
      <w:headerReference r:id="rId3" w:type="default"/>
      <w:footerReference r:id="rId4"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sz w:val="20"/>
        <w:szCs w:val="20"/>
      </w:rPr>
    </w:pPr>
    <w:r>
      <mc:AlternateContent>
        <mc:Choice Requires="wpg">
          <w:drawing>
            <wp:anchor distT="0" distB="0" distL="114300" distR="114300" simplePos="0" relativeHeight="251676672"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42" name="组合 42"/>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4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39808;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TKRbrZAAAADAEAAA8A&#10;AAAAAAAAAQAgAAAAIgAAAGRycy9kb3ducmV2LnhtbFBLAQIUABQAAAAIAIdO4kBrhy1iiAIAAKMF&#10;AAAOAAAAAAAAAAEAIAAAACgBAABkcnMvZTJvRG9jLnhtbFBLBQYAAAAABgAGAFkBAAAiBgAAAAA=&#10;">
              <o:lock v:ext="edit" aspectratio="f"/>
              <v:shape id="任意多边形 1" o:spid="_x0000_s1026" o:spt="100" style="position:absolute;left:1104;top:1111;height:2;width:9338;" filled="f" stroked="t" coordsize="9338,1" o:gfxdata="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JEJPvQAA&#10;ANsAAAAPAAAAAAAAAAEAIAAAACIAAABkcnMvZG93bnJldi54bWxQSwECFAAUAAAACACHTuJAMy8F&#10;njsAAAA5AAAAEAAAAAAAAAABACAAAAAMAQAAZHJzL3NoYXBleG1sLnhtbFBLBQYAAAAABgAGAFsB&#10;AAC2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7696"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 xml:space="preserve">四川省交通建设集团股份有限公司 </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38784;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nHLsw6QBAAA0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Z5Q4bnFGu18/d4+/d08/CMbQoD7EGuvuAlam4dIPOOgx&#10;HjGYdQ8KbP6iIoJ5tHp7tFcOiYj8aD77MK8wJTA3Pf30ETHSs7+vA8T0WXpLMmgo4PiKq3zzNaZ9&#10;6ViSf+b8tTamjNC4fwLIuY/IsgOH11nIvuGM0rAaDupWvt2iOPPFobV5TUYAI1iN4CGAXnfYXLGA&#10;ZSIcTVFxWKM8++d3xM+Xff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p0e1NgAAAAKAQAADwAA&#10;AAAAAAABACAAAAAiAAAAZHJzL2Rvd25yZXYueG1sUEsBAhQAFAAAAAgAh07iQJxy7MOkAQAANAMA&#10;AA4AAAAAAAAAAQAgAAAAJwEAAGRycy9lMm9Eb2MueG1sUEsFBgAAAAAGAAYAWQEAAD0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 xml:space="preserve">四川省交通建设集团股份有限公司 </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37760;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zd/yHZAAAACgEAAA8A&#10;AAAAAAAAAQAgAAAAIgAAAGRycy9kb3ducmV2LnhtbFBLAQIUABQAAAAIAIdO4kC6wXEXpAEAADQD&#10;AAAOAAAAAAAAAAEAIAAAACgBAABkcnMvZTJvRG9jLnhtbFBLBQYAAAAABgAGAFkBAAA+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72087"/>
    <w:rsid w:val="7C27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2021-04-30T07:42:00Z</dcterms:created>
  <dc:creator>钟明娟</dc:creator>
  <cp:lastModifiedBy>钟明娟</cp:lastModifiedBy>
  <dcterms:modified xsi:type="dcterms:W3CDTF">2021-04-30T07:42:59Z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