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firstLine="562" w:firstLineChars="200"/>
        <w:rPr>
          <w:rFonts w:hint="eastAsia" w:cs="仿宋"/>
          <w:b/>
          <w:bCs/>
          <w:color w:val="auto"/>
          <w:sz w:val="32"/>
          <w:szCs w:val="32"/>
          <w:highlight w:val="none"/>
          <w:lang w:val="en-US" w:eastAsia="zh-CN"/>
        </w:rPr>
      </w:pPr>
      <w:bookmarkStart w:id="0" w:name="_Toc27409_WPSOffice_Level1"/>
      <w:bookmarkStart w:id="1" w:name="_Toc3161_WPSOffice_Level1"/>
      <w:bookmarkStart w:id="2" w:name="_Toc20280_WPSOffice_Level1"/>
      <w:bookmarkStart w:id="3" w:name="_Toc22287"/>
      <w:r>
        <w:rPr>
          <w:rFonts w:hint="eastAsia" w:ascii="宋体" w:hAnsi="宋体" w:cs="宋体"/>
          <w:b/>
          <w:color w:val="auto"/>
          <w:sz w:val="28"/>
          <w:szCs w:val="28"/>
          <w:highlight w:val="none"/>
        </w:rPr>
        <w:t>附表一</w:t>
      </w:r>
    </w:p>
    <w:p>
      <w:pPr>
        <w:pStyle w:val="2"/>
        <w:ind w:firstLine="0"/>
        <w:jc w:val="center"/>
        <w:rPr>
          <w:rFonts w:hint="eastAsia" w:cs="仿宋"/>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开江至梁平（四川境）高速公路A标段</w:t>
      </w:r>
      <w:r>
        <w:rPr>
          <w:rFonts w:hint="eastAsia" w:ascii="宋体" w:hAnsi="宋体" w:cs="宋体"/>
          <w:b/>
          <w:bCs/>
          <w:color w:val="auto"/>
          <w:sz w:val="32"/>
          <w:szCs w:val="32"/>
          <w:highlight w:val="none"/>
          <w:lang w:val="en-US" w:eastAsia="zh-CN"/>
        </w:rPr>
        <w:t>TJ1-01～02</w:t>
      </w:r>
      <w:r>
        <w:rPr>
          <w:rFonts w:hint="eastAsia" w:cs="仿宋"/>
          <w:b/>
          <w:bCs/>
          <w:color w:val="auto"/>
          <w:sz w:val="32"/>
          <w:szCs w:val="32"/>
          <w:highlight w:val="none"/>
          <w:lang w:val="en-US" w:eastAsia="zh-CN"/>
        </w:rPr>
        <w:t>土建劳务合作</w:t>
      </w:r>
    </w:p>
    <w:p>
      <w:pPr>
        <w:pStyle w:val="2"/>
        <w:ind w:firstLine="0"/>
        <w:jc w:val="center"/>
        <w:rPr>
          <w:rFonts w:hint="eastAsia" w:cs="仿宋"/>
          <w:b/>
          <w:bCs/>
          <w:color w:val="auto"/>
          <w:sz w:val="32"/>
          <w:szCs w:val="32"/>
          <w:highlight w:val="none"/>
          <w:lang w:eastAsia="zh-CN"/>
        </w:rPr>
      </w:pPr>
      <w:r>
        <w:rPr>
          <w:rFonts w:hint="eastAsia" w:cs="仿宋"/>
          <w:b/>
          <w:bCs/>
          <w:color w:val="auto"/>
          <w:sz w:val="32"/>
          <w:szCs w:val="32"/>
          <w:highlight w:val="none"/>
          <w:lang w:val="en-US" w:eastAsia="zh-CN"/>
        </w:rPr>
        <w:t>分段划分、工程规模、工期统计表</w:t>
      </w:r>
    </w:p>
    <w:p>
      <w:pPr>
        <w:rPr>
          <w:rFonts w:hint="eastAsia"/>
          <w:lang w:val="en-US" w:eastAsia="zh-CN"/>
        </w:rPr>
      </w:pPr>
    </w:p>
    <w:tbl>
      <w:tblPr>
        <w:tblStyle w:val="23"/>
        <w:tblpPr w:leftFromText="180" w:rightFromText="180" w:vertAnchor="text" w:horzAnchor="page" w:tblpX="1280" w:tblpY="89"/>
        <w:tblOverlap w:val="never"/>
        <w:tblW w:w="13865" w:type="dxa"/>
        <w:jc w:val="center"/>
        <w:tblLayout w:type="fixed"/>
        <w:tblCellMar>
          <w:top w:w="0" w:type="dxa"/>
          <w:left w:w="0" w:type="dxa"/>
          <w:bottom w:w="0" w:type="dxa"/>
          <w:right w:w="0" w:type="dxa"/>
        </w:tblCellMar>
      </w:tblPr>
      <w:tblGrid>
        <w:gridCol w:w="527"/>
        <w:gridCol w:w="1432"/>
        <w:gridCol w:w="2023"/>
        <w:gridCol w:w="3662"/>
        <w:gridCol w:w="5112"/>
        <w:gridCol w:w="1109"/>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序号</w:t>
            </w:r>
          </w:p>
        </w:tc>
        <w:tc>
          <w:tcPr>
            <w:tcW w:w="143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分段名称</w:t>
            </w:r>
          </w:p>
        </w:tc>
        <w:tc>
          <w:tcPr>
            <w:tcW w:w="202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里程段落</w:t>
            </w:r>
          </w:p>
        </w:tc>
        <w:tc>
          <w:tcPr>
            <w:tcW w:w="366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511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11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w:t>
            </w:r>
            <w:r>
              <w:rPr>
                <w:rFonts w:hint="eastAsia" w:asciiTheme="minorEastAsia" w:hAnsiTheme="minorEastAsia" w:eastAsiaTheme="minorEastAsia" w:cstheme="minorEastAsia"/>
                <w:color w:val="auto"/>
                <w:kern w:val="0"/>
                <w:sz w:val="18"/>
                <w:szCs w:val="18"/>
                <w:highlight w:val="none"/>
                <w:lang w:val="en-US" w:eastAsia="zh-CN" w:bidi="ar"/>
              </w:rPr>
              <w:t>个</w:t>
            </w:r>
            <w:r>
              <w:rPr>
                <w:rFonts w:hint="eastAsia" w:asciiTheme="minorEastAsia" w:hAnsiTheme="minorEastAsia" w:eastAsiaTheme="minorEastAsia" w:cstheme="minorEastAsia"/>
                <w:color w:val="auto"/>
                <w:kern w:val="0"/>
                <w:sz w:val="18"/>
                <w:szCs w:val="18"/>
                <w:highlight w:val="none"/>
                <w:lang w:bidi="ar"/>
              </w:rPr>
              <w:t>月）</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43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202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366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511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1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r>
      <w:tr>
        <w:tblPrEx>
          <w:tblCellMar>
            <w:top w:w="0" w:type="dxa"/>
            <w:left w:w="0" w:type="dxa"/>
            <w:bottom w:w="0" w:type="dxa"/>
            <w:right w:w="0" w:type="dxa"/>
          </w:tblCellMar>
        </w:tblPrEx>
        <w:trPr>
          <w:trHeight w:val="802"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w:t>
            </w:r>
          </w:p>
        </w:tc>
        <w:tc>
          <w:tcPr>
            <w:tcW w:w="14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KL-TJ1-01</w:t>
            </w:r>
          </w:p>
        </w:tc>
        <w:tc>
          <w:tcPr>
            <w:tcW w:w="20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ZK1+147-ZK3+046</w:t>
            </w:r>
          </w:p>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K1+145-K3+018</w:t>
            </w:r>
          </w:p>
        </w:tc>
        <w:tc>
          <w:tcPr>
            <w:tcW w:w="3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color w:val="auto"/>
                <w:kern w:val="0"/>
                <w:sz w:val="18"/>
                <w:szCs w:val="18"/>
                <w:highlight w:val="none"/>
                <w:lang w:val="en-US" w:eastAsia="zh-CN" w:bidi="ar"/>
              </w:rPr>
              <w:t>明月山隧道左线（1899m）,明月山隧道右线（1873m）</w:t>
            </w:r>
          </w:p>
        </w:tc>
        <w:tc>
          <w:tcPr>
            <w:tcW w:w="5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auto"/>
                <w:kern w:val="0"/>
                <w:sz w:val="18"/>
                <w:szCs w:val="18"/>
                <w:u w:val="none"/>
                <w:lang w:val="en-US" w:eastAsia="zh-CN" w:bidi="ar"/>
              </w:rPr>
              <w:t>隧道工程劳务合作及对应的进场便道、便桥</w:t>
            </w:r>
            <w:r>
              <w:rPr>
                <w:rFonts w:hint="eastAsia" w:ascii="宋体" w:hAnsi="宋体" w:cs="宋体"/>
                <w:i w:val="0"/>
                <w:color w:val="auto"/>
                <w:kern w:val="0"/>
                <w:sz w:val="18"/>
                <w:szCs w:val="18"/>
                <w:u w:val="none"/>
                <w:lang w:val="en-US" w:eastAsia="zh-CN" w:bidi="ar"/>
              </w:rPr>
              <w:t>、湿喷站、小型钢材加工场等</w:t>
            </w:r>
            <w:r>
              <w:rPr>
                <w:rFonts w:hint="eastAsia" w:asciiTheme="minorEastAsia" w:hAnsiTheme="minorEastAsia" w:eastAsiaTheme="minorEastAsia" w:cstheme="minorEastAsia"/>
                <w:i w:val="0"/>
                <w:color w:val="auto"/>
                <w:kern w:val="0"/>
                <w:sz w:val="18"/>
                <w:szCs w:val="18"/>
                <w:u w:val="none"/>
                <w:lang w:val="en-US" w:eastAsia="zh-CN" w:bidi="ar"/>
              </w:rPr>
              <w:t>（本隧道为双向掘进）</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color w:val="auto"/>
                <w:kern w:val="0"/>
                <w:sz w:val="18"/>
                <w:szCs w:val="18"/>
                <w:highlight w:val="none"/>
                <w:lang w:val="en-US" w:eastAsia="zh-CN" w:bidi="ar"/>
              </w:rPr>
              <w:t>12</w:t>
            </w:r>
          </w:p>
        </w:tc>
      </w:tr>
      <w:tr>
        <w:tblPrEx>
          <w:tblCellMar>
            <w:top w:w="0" w:type="dxa"/>
            <w:left w:w="0" w:type="dxa"/>
            <w:bottom w:w="0" w:type="dxa"/>
            <w:right w:w="0" w:type="dxa"/>
          </w:tblCellMar>
        </w:tblPrEx>
        <w:trPr>
          <w:trHeight w:val="1048"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14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KL-TJ1-02</w:t>
            </w:r>
          </w:p>
        </w:tc>
        <w:tc>
          <w:tcPr>
            <w:tcW w:w="202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-K0+200左侧</w:t>
            </w:r>
          </w:p>
        </w:tc>
        <w:tc>
          <w:tcPr>
            <w:tcW w:w="3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开江连接线-K5+173.412~-K1+980,开江东枢纽-K1+980-K0+735,主线段落K0+735-K1+147,明月山隧道左线ZK1+147-ZK2+100,明月山隧道右线K1+145-K2+100</w:t>
            </w:r>
          </w:p>
        </w:tc>
        <w:tc>
          <w:tcPr>
            <w:tcW w:w="5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auto"/>
                <w:kern w:val="0"/>
                <w:sz w:val="18"/>
                <w:szCs w:val="18"/>
                <w:u w:val="none"/>
                <w:lang w:val="en-US" w:eastAsia="zh-CN" w:bidi="ar"/>
              </w:rPr>
              <w:t>1#混凝土拌和站临建场地劳务协作及</w:t>
            </w:r>
            <w:bookmarkStart w:id="5" w:name="_GoBack"/>
            <w:bookmarkEnd w:id="5"/>
            <w:r>
              <w:rPr>
                <w:rFonts w:hint="eastAsia" w:asciiTheme="minorEastAsia" w:hAnsiTheme="minorEastAsia" w:eastAsiaTheme="minorEastAsia" w:cstheme="minorEastAsia"/>
                <w:i w:val="0"/>
                <w:color w:val="auto"/>
                <w:kern w:val="0"/>
                <w:sz w:val="18"/>
                <w:szCs w:val="18"/>
                <w:u w:val="none"/>
                <w:lang w:val="en-US" w:eastAsia="zh-CN" w:bidi="ar"/>
              </w:rPr>
              <w:t>混凝土加工及运输（混凝土加工总量约20.5万方）</w:t>
            </w:r>
          </w:p>
        </w:tc>
        <w:tc>
          <w:tcPr>
            <w:tcW w:w="11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30</w:t>
            </w:r>
          </w:p>
        </w:tc>
      </w:tr>
    </w:tbl>
    <w:p>
      <w:pPr>
        <w:pStyle w:val="2"/>
        <w:jc w:val="left"/>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开江至梁平（四川境）高速公路A标段</w:t>
      </w:r>
      <w:r>
        <w:rPr>
          <w:rFonts w:hint="eastAsia" w:ascii="宋体" w:hAnsi="宋体" w:cs="宋体"/>
          <w:b/>
          <w:bCs/>
          <w:color w:val="auto"/>
          <w:sz w:val="32"/>
          <w:szCs w:val="32"/>
          <w:highlight w:val="none"/>
          <w:lang w:val="en-US" w:eastAsia="zh-CN"/>
        </w:rPr>
        <w:t>TJ1-01～02</w:t>
      </w:r>
      <w:r>
        <w:rPr>
          <w:rFonts w:hint="eastAsia" w:cs="仿宋"/>
          <w:b/>
          <w:bCs/>
          <w:color w:val="auto"/>
          <w:sz w:val="32"/>
          <w:szCs w:val="32"/>
          <w:highlight w:val="none"/>
          <w:lang w:val="en-US" w:eastAsia="zh-CN"/>
        </w:rPr>
        <w:t>土建劳务合作</w:t>
      </w:r>
    </w:p>
    <w:p>
      <w:pPr>
        <w:pStyle w:val="2"/>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3"/>
        <w:tblpPr w:leftFromText="180" w:rightFromText="180" w:vertAnchor="text" w:horzAnchor="page" w:tblpX="1280" w:tblpY="89"/>
        <w:tblOverlap w:val="never"/>
        <w:tblW w:w="13865" w:type="dxa"/>
        <w:jc w:val="center"/>
        <w:tblLayout w:type="fixed"/>
        <w:tblCellMar>
          <w:top w:w="0" w:type="dxa"/>
          <w:left w:w="0" w:type="dxa"/>
          <w:bottom w:w="0" w:type="dxa"/>
          <w:right w:w="0" w:type="dxa"/>
        </w:tblCellMar>
      </w:tblPr>
      <w:tblGrid>
        <w:gridCol w:w="527"/>
        <w:gridCol w:w="1417"/>
        <w:gridCol w:w="2038"/>
        <w:gridCol w:w="3822"/>
        <w:gridCol w:w="4952"/>
        <w:gridCol w:w="1109"/>
      </w:tblGrid>
      <w:tr>
        <w:tblPrEx>
          <w:tblCellMar>
            <w:top w:w="0" w:type="dxa"/>
            <w:left w:w="0" w:type="dxa"/>
            <w:bottom w:w="0" w:type="dxa"/>
            <w:right w:w="0" w:type="dxa"/>
          </w:tblCellMar>
        </w:tblPrEx>
        <w:trPr>
          <w:trHeight w:val="480" w:hRule="atLeast"/>
          <w:tblHeader/>
          <w:jc w:val="center"/>
        </w:trPr>
        <w:tc>
          <w:tcPr>
            <w:tcW w:w="52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rPr>
            </w:pPr>
            <w:r>
              <w:rPr>
                <w:rFonts w:hint="eastAsia" w:ascii="宋体" w:hAnsi="宋体" w:cs="宋体"/>
                <w:color w:val="auto"/>
                <w:kern w:val="0"/>
                <w:sz w:val="18"/>
                <w:szCs w:val="18"/>
                <w:highlight w:val="none"/>
                <w:lang w:bidi="ar"/>
              </w:rPr>
              <w:t>序号</w:t>
            </w:r>
          </w:p>
        </w:tc>
        <w:tc>
          <w:tcPr>
            <w:tcW w:w="141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3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firstLineChars="0"/>
              <w:jc w:val="center"/>
              <w:rPr>
                <w:rFonts w:hint="eastAsia" w:asciiTheme="minorEastAsia" w:hAnsiTheme="minorEastAsia" w:eastAsiaTheme="minorEastAsia" w:cstheme="minorEastAsia"/>
                <w:color w:val="auto"/>
                <w:sz w:val="18"/>
                <w:szCs w:val="18"/>
                <w:highlight w:val="none"/>
              </w:rPr>
            </w:pPr>
            <w:r>
              <w:rPr>
                <w:rFonts w:hint="eastAsia" w:ascii="宋体" w:hAnsi="宋体" w:eastAsia="宋体" w:cs="宋体"/>
                <w:color w:val="auto"/>
                <w:sz w:val="18"/>
                <w:szCs w:val="18"/>
                <w:highlight w:val="none"/>
              </w:rPr>
              <w:t>特征</w:t>
            </w:r>
          </w:p>
        </w:tc>
        <w:tc>
          <w:tcPr>
            <w:tcW w:w="382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kinsoku w:val="0"/>
              <w:overflowPunct w:val="0"/>
              <w:spacing w:line="239" w:lineRule="exact"/>
              <w:ind w:left="426" w:leftChars="0" w:right="344" w:rightChars="0"/>
              <w:jc w:val="center"/>
              <w:rPr>
                <w:rFonts w:hint="eastAsia" w:asciiTheme="minorEastAsia" w:hAnsiTheme="minorEastAsia" w:eastAsiaTheme="minorEastAsia" w:cstheme="minorEastAsia"/>
                <w:color w:val="auto"/>
                <w:sz w:val="18"/>
                <w:szCs w:val="18"/>
                <w:highlight w:val="none"/>
                <w:lang w:eastAsia="zh-CN"/>
              </w:rPr>
            </w:pPr>
            <w:r>
              <w:rPr>
                <w:rFonts w:hint="eastAsia"/>
                <w:color w:val="auto"/>
                <w:sz w:val="18"/>
                <w:szCs w:val="18"/>
                <w:highlight w:val="none"/>
              </w:rPr>
              <w:t>施工企业资质等级要求</w:t>
            </w:r>
          </w:p>
        </w:tc>
        <w:tc>
          <w:tcPr>
            <w:tcW w:w="495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4"/>
              <w:widowControl/>
              <w:kinsoku w:val="0"/>
              <w:overflowPunct w:val="0"/>
              <w:spacing w:line="239" w:lineRule="exact"/>
              <w:ind w:left="426" w:leftChars="0" w:right="344" w:rightChars="0"/>
              <w:jc w:val="center"/>
              <w:textAlignment w:val="center"/>
              <w:rPr>
                <w:rFonts w:hint="eastAsia" w:asciiTheme="minorEastAsia" w:hAnsiTheme="minorEastAsia" w:eastAsiaTheme="minorEastAsia" w:cstheme="minorEastAsia"/>
                <w:color w:val="auto"/>
                <w:sz w:val="18"/>
                <w:szCs w:val="18"/>
                <w:highlight w:val="none"/>
              </w:rPr>
            </w:pPr>
            <w:r>
              <w:rPr>
                <w:rFonts w:hint="eastAsia"/>
                <w:color w:val="auto"/>
                <w:sz w:val="18"/>
                <w:szCs w:val="18"/>
                <w:highlight w:val="none"/>
              </w:rPr>
              <w:t>业绩基本要求</w:t>
            </w:r>
          </w:p>
        </w:tc>
        <w:tc>
          <w:tcPr>
            <w:tcW w:w="11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500" w:hRule="atLeast"/>
          <w:tblHeader/>
          <w:jc w:val="center"/>
        </w:trPr>
        <w:tc>
          <w:tcPr>
            <w:tcW w:w="52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41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203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382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495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c>
          <w:tcPr>
            <w:tcW w:w="11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18"/>
                <w:szCs w:val="18"/>
                <w:highlight w:val="none"/>
              </w:rPr>
            </w:pPr>
          </w:p>
        </w:tc>
      </w:tr>
      <w:tr>
        <w:tblPrEx>
          <w:tblCellMar>
            <w:top w:w="0" w:type="dxa"/>
            <w:left w:w="0" w:type="dxa"/>
            <w:bottom w:w="0" w:type="dxa"/>
            <w:right w:w="0" w:type="dxa"/>
          </w:tblCellMar>
        </w:tblPrEx>
        <w:trPr>
          <w:trHeight w:val="97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1</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KL-TJ1-01</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隧道劳务工程</w:t>
            </w:r>
          </w:p>
        </w:tc>
        <w:tc>
          <w:tcPr>
            <w:tcW w:w="38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color w:val="auto"/>
                <w:sz w:val="18"/>
                <w:szCs w:val="18"/>
                <w:highlight w:val="none"/>
              </w:rPr>
              <w:t>具有</w:t>
            </w:r>
            <w:r>
              <w:rPr>
                <w:rFonts w:hint="eastAsia"/>
                <w:color w:val="auto"/>
                <w:sz w:val="18"/>
                <w:szCs w:val="18"/>
                <w:highlight w:val="none"/>
                <w:lang w:eastAsia="zh-CN"/>
              </w:rPr>
              <w:t>政府主管部门</w:t>
            </w:r>
            <w:r>
              <w:rPr>
                <w:rFonts w:hint="eastAsia"/>
                <w:color w:val="auto"/>
                <w:sz w:val="18"/>
                <w:szCs w:val="18"/>
                <w:highlight w:val="none"/>
              </w:rPr>
              <w:t>的</w:t>
            </w:r>
            <w:r>
              <w:rPr>
                <w:rFonts w:hint="eastAsia" w:ascii="宋体" w:hAnsi="宋体" w:cs="宋体"/>
                <w:color w:val="auto"/>
                <w:sz w:val="18"/>
                <w:szCs w:val="18"/>
                <w:highlight w:val="none"/>
              </w:rPr>
              <w:t>施工劳务资质或公路工程施工总承包</w:t>
            </w:r>
            <w:r>
              <w:rPr>
                <w:rFonts w:hint="eastAsia" w:ascii="宋体" w:hAnsi="宋体" w:cs="宋体"/>
                <w:color w:val="auto"/>
                <w:sz w:val="18"/>
                <w:szCs w:val="18"/>
                <w:highlight w:val="none"/>
                <w:lang w:val="en-US" w:eastAsia="zh-CN"/>
              </w:rPr>
              <w:t>二</w:t>
            </w:r>
            <w:r>
              <w:rPr>
                <w:rFonts w:hint="eastAsia" w:ascii="宋体" w:hAnsi="宋体" w:cs="宋体"/>
                <w:color w:val="auto"/>
                <w:sz w:val="18"/>
                <w:szCs w:val="18"/>
                <w:highlight w:val="none"/>
              </w:rPr>
              <w:t>级及以上资质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5年内完成单洞长度1000m以上隧道工程业绩1个及以上（2016年1月1日后交工验收，以提供的合同协议书复印件及相关证明材料为准）</w:t>
            </w:r>
          </w:p>
        </w:tc>
        <w:tc>
          <w:tcPr>
            <w:tcW w:w="110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r>
        <w:tblPrEx>
          <w:tblCellMar>
            <w:top w:w="0" w:type="dxa"/>
            <w:left w:w="0" w:type="dxa"/>
            <w:bottom w:w="0" w:type="dxa"/>
            <w:right w:w="0" w:type="dxa"/>
          </w:tblCellMar>
        </w:tblPrEx>
        <w:trPr>
          <w:trHeight w:val="1033" w:hRule="atLeast"/>
          <w:jc w:val="center"/>
        </w:trPr>
        <w:tc>
          <w:tcPr>
            <w:tcW w:w="5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bidi="ar"/>
              </w:rPr>
              <w:t>2</w:t>
            </w:r>
          </w:p>
        </w:tc>
        <w:tc>
          <w:tcPr>
            <w:tcW w:w="1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Theme="minorEastAsia" w:hAnsiTheme="minorEastAsia" w:eastAsiaTheme="minorEastAsia" w:cstheme="minorEastAsia"/>
                <w:i w:val="0"/>
                <w:color w:val="000000"/>
                <w:kern w:val="0"/>
                <w:sz w:val="18"/>
                <w:szCs w:val="18"/>
                <w:u w:val="none"/>
                <w:lang w:val="en-US" w:eastAsia="zh-CN" w:bidi="ar"/>
              </w:rPr>
              <w:t>KL-TJ1-02</w:t>
            </w:r>
          </w:p>
        </w:tc>
        <w:tc>
          <w:tcPr>
            <w:tcW w:w="20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cs="宋体"/>
                <w:i w:val="0"/>
                <w:color w:val="000000"/>
                <w:kern w:val="0"/>
                <w:sz w:val="18"/>
                <w:szCs w:val="18"/>
                <w:u w:val="none"/>
                <w:lang w:val="en-US" w:eastAsia="zh-CN" w:bidi="ar"/>
              </w:rPr>
              <w:t>混凝土拌和站</w:t>
            </w:r>
          </w:p>
        </w:tc>
        <w:tc>
          <w:tcPr>
            <w:tcW w:w="38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color w:val="auto"/>
                <w:sz w:val="18"/>
                <w:szCs w:val="18"/>
                <w:highlight w:val="none"/>
              </w:rPr>
              <w:t>具有</w:t>
            </w:r>
            <w:r>
              <w:rPr>
                <w:rFonts w:hint="eastAsia"/>
                <w:color w:val="auto"/>
                <w:sz w:val="18"/>
                <w:szCs w:val="18"/>
                <w:highlight w:val="none"/>
                <w:lang w:eastAsia="zh-CN"/>
              </w:rPr>
              <w:t>政府主管部门</w:t>
            </w:r>
            <w:r>
              <w:rPr>
                <w:rFonts w:hint="eastAsia"/>
                <w:color w:val="auto"/>
                <w:sz w:val="18"/>
                <w:szCs w:val="18"/>
                <w:highlight w:val="none"/>
              </w:rPr>
              <w:t>的</w:t>
            </w:r>
            <w:r>
              <w:rPr>
                <w:rFonts w:hint="eastAsia" w:ascii="宋体" w:hAnsi="宋体" w:cs="宋体"/>
                <w:color w:val="auto"/>
                <w:sz w:val="18"/>
                <w:szCs w:val="18"/>
                <w:highlight w:val="none"/>
              </w:rPr>
              <w:t>施工劳务资质或公路工程施工总承包三级及以上资质</w:t>
            </w:r>
          </w:p>
        </w:tc>
        <w:tc>
          <w:tcPr>
            <w:tcW w:w="49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lang w:val="en-US" w:eastAsia="zh-CN" w:bidi="ar"/>
              </w:rPr>
            </w:pPr>
            <w:r>
              <w:rPr>
                <w:rFonts w:hint="eastAsia" w:ascii="宋体" w:hAnsi="宋体" w:eastAsia="宋体" w:cs="宋体"/>
                <w:i w:val="0"/>
                <w:color w:val="000000"/>
                <w:kern w:val="0"/>
                <w:sz w:val="18"/>
                <w:szCs w:val="18"/>
                <w:u w:val="none"/>
                <w:lang w:val="en-US" w:eastAsia="zh-CN" w:bidi="ar"/>
              </w:rPr>
              <w:t>5年内（201</w:t>
            </w:r>
            <w:r>
              <w:rPr>
                <w:rFonts w:hint="eastAsia" w:ascii="宋体" w:hAnsi="宋体" w:cs="宋体"/>
                <w:i w:val="0"/>
                <w:color w:val="000000"/>
                <w:kern w:val="0"/>
                <w:sz w:val="18"/>
                <w:szCs w:val="18"/>
                <w:u w:val="none"/>
                <w:lang w:val="en-US" w:eastAsia="zh-CN" w:bidi="ar"/>
              </w:rPr>
              <w:t>6</w:t>
            </w:r>
            <w:r>
              <w:rPr>
                <w:rFonts w:hint="eastAsia" w:ascii="宋体" w:hAnsi="宋体" w:eastAsia="宋体" w:cs="宋体"/>
                <w:i w:val="0"/>
                <w:color w:val="000000"/>
                <w:kern w:val="0"/>
                <w:sz w:val="18"/>
                <w:szCs w:val="18"/>
                <w:u w:val="none"/>
                <w:lang w:val="en-US" w:eastAsia="zh-CN" w:bidi="ar"/>
              </w:rPr>
              <w:t>年1月1日）具有</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个</w:t>
            </w:r>
            <w:r>
              <w:rPr>
                <w:rFonts w:hint="eastAsia" w:ascii="宋体" w:hAnsi="宋体" w:cs="宋体"/>
                <w:i w:val="0"/>
                <w:color w:val="000000"/>
                <w:kern w:val="0"/>
                <w:sz w:val="18"/>
                <w:szCs w:val="18"/>
                <w:u w:val="none"/>
                <w:lang w:val="en-US" w:eastAsia="zh-CN" w:bidi="ar"/>
              </w:rPr>
              <w:t>及</w:t>
            </w:r>
            <w:r>
              <w:rPr>
                <w:rFonts w:hint="eastAsia" w:ascii="宋体" w:hAnsi="宋体" w:eastAsia="宋体" w:cs="宋体"/>
                <w:i w:val="0"/>
                <w:color w:val="000000"/>
                <w:kern w:val="0"/>
                <w:sz w:val="18"/>
                <w:szCs w:val="18"/>
                <w:u w:val="none"/>
                <w:lang w:val="en-US" w:eastAsia="zh-CN" w:bidi="ar"/>
              </w:rPr>
              <w:t>以上</w:t>
            </w:r>
            <w:r>
              <w:rPr>
                <w:rFonts w:hint="eastAsia" w:ascii="宋体" w:hAnsi="宋体" w:cs="宋体"/>
                <w:i w:val="0"/>
                <w:color w:val="000000"/>
                <w:kern w:val="0"/>
                <w:sz w:val="18"/>
                <w:szCs w:val="18"/>
                <w:u w:val="none"/>
                <w:lang w:val="en-US" w:eastAsia="zh-CN" w:bidi="ar"/>
              </w:rPr>
              <w:t>类似的临建工程，混凝土拌和运输（不少于10万m</w:t>
            </w:r>
            <w:r>
              <w:rPr>
                <w:rFonts w:hint="eastAsia" w:ascii="宋体" w:hAnsi="宋体" w:cs="宋体"/>
                <w:i w:val="0"/>
                <w:color w:val="000000"/>
                <w:kern w:val="0"/>
                <w:sz w:val="18"/>
                <w:szCs w:val="18"/>
                <w:u w:val="none"/>
                <w:vertAlign w:val="superscript"/>
                <w:lang w:val="en-US" w:eastAsia="zh-CN" w:bidi="ar"/>
              </w:rPr>
              <w:t>3</w:t>
            </w:r>
            <w:r>
              <w:rPr>
                <w:rFonts w:hint="eastAsia" w:ascii="宋体" w:hAnsi="宋体" w:cs="宋体"/>
                <w:i w:val="0"/>
                <w:color w:val="000000"/>
                <w:kern w:val="0"/>
                <w:sz w:val="18"/>
                <w:szCs w:val="18"/>
                <w:u w:val="none"/>
                <w:lang w:val="en-US" w:eastAsia="zh-CN" w:bidi="ar"/>
              </w:rPr>
              <w:t>加工量）</w:t>
            </w:r>
            <w:r>
              <w:rPr>
                <w:rFonts w:hint="eastAsia" w:ascii="宋体" w:hAnsi="宋体" w:eastAsia="宋体" w:cs="宋体"/>
                <w:i w:val="0"/>
                <w:color w:val="000000"/>
                <w:kern w:val="0"/>
                <w:sz w:val="18"/>
                <w:szCs w:val="18"/>
                <w:u w:val="none"/>
                <w:lang w:val="en-US" w:eastAsia="zh-CN" w:bidi="ar"/>
              </w:rPr>
              <w:t>业绩</w:t>
            </w:r>
          </w:p>
        </w:tc>
        <w:tc>
          <w:tcPr>
            <w:tcW w:w="110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kern w:val="0"/>
                <w:sz w:val="18"/>
                <w:szCs w:val="18"/>
                <w:highlight w:val="none"/>
                <w:lang w:val="en-US" w:eastAsia="zh-CN" w:bidi="ar"/>
              </w:rPr>
            </w:pPr>
          </w:p>
        </w:tc>
      </w:tr>
    </w:tbl>
    <w:p>
      <w:pPr>
        <w:pStyle w:val="2"/>
        <w:ind w:firstLine="0"/>
        <w:jc w:val="both"/>
        <w:rPr>
          <w:rFonts w:hint="eastAsia" w:cs="仿宋"/>
          <w:b/>
          <w:bCs/>
          <w:color w:val="auto"/>
          <w:sz w:val="32"/>
          <w:szCs w:val="32"/>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rPr>
          <w:rFonts w:hint="eastAsia"/>
          <w:lang w:eastAsia="zh-CN"/>
        </w:rPr>
      </w:pP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155"/>
        <w:gridCol w:w="3046"/>
        <w:gridCol w:w="1040"/>
        <w:gridCol w:w="262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val="0"/>
                <w:color w:val="auto"/>
                <w:kern w:val="0"/>
                <w:sz w:val="28"/>
                <w:szCs w:val="28"/>
                <w:highlight w:val="none"/>
                <w:u w:val="none"/>
                <w:lang w:val="en-US" w:eastAsia="zh-CN" w:bidi="ar"/>
              </w:rPr>
              <w:t>开江至梁平（四川境）高速公路A标段TJ1-01～02土建劳务合作</w:t>
            </w:r>
            <w:r>
              <w:rPr>
                <w:rFonts w:hint="eastAsia" w:ascii="仿宋" w:hAnsi="仿宋" w:eastAsia="仿宋" w:cs="仿宋"/>
                <w:b/>
                <w:bCs w:val="0"/>
                <w:color w:val="auto"/>
                <w:kern w:val="0"/>
                <w:sz w:val="28"/>
                <w:szCs w:val="28"/>
                <w:highlight w:val="none"/>
                <w:u w:val="none"/>
                <w:lang w:eastAsia="zh-CN" w:bidi="ar"/>
              </w:rPr>
              <w:t>各</w:t>
            </w:r>
            <w:r>
              <w:rPr>
                <w:rFonts w:hint="eastAsia" w:ascii="仿宋" w:hAnsi="仿宋" w:eastAsia="仿宋" w:cs="仿宋"/>
                <w:b/>
                <w:bCs/>
                <w:color w:val="auto"/>
                <w:sz w:val="28"/>
                <w:szCs w:val="28"/>
                <w:highlight w:val="none"/>
                <w:lang w:eastAsia="zh-CN"/>
              </w:rPr>
              <w:t>分段</w:t>
            </w:r>
          </w:p>
          <w:p>
            <w:pPr>
              <w:keepNext w:val="0"/>
              <w:keepLines w:val="0"/>
              <w:widowControl/>
              <w:suppressLineNumbers w:val="0"/>
              <w:ind w:firstLine="0" w:firstLineChars="0"/>
              <w:jc w:val="center"/>
              <w:textAlignment w:val="auto"/>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overflowPunct/>
              <w:topLinePunct w:val="0"/>
              <w:autoSpaceDE/>
              <w:autoSpaceDN/>
              <w:bidi w:val="0"/>
              <w:adjustRightInd/>
              <w:snapToGrid/>
              <w:ind w:firstLine="3373" w:firstLineChars="1200"/>
              <w:jc w:val="left"/>
              <w:textAlignment w:val="auto"/>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w:t>
            </w:r>
            <w:r>
              <w:rPr>
                <w:rFonts w:hint="eastAsia" w:ascii="仿宋" w:hAnsi="仿宋" w:eastAsia="仿宋" w:cs="仿宋"/>
                <w:b/>
                <w:bCs/>
                <w:color w:val="auto"/>
                <w:sz w:val="28"/>
                <w:szCs w:val="28"/>
                <w:highlight w:val="none"/>
                <w:lang w:val="en-US" w:eastAsia="zh-CN"/>
              </w:rPr>
              <w:t>于</w:t>
            </w:r>
            <w:r>
              <w:rPr>
                <w:rFonts w:hint="eastAsia" w:ascii="仿宋" w:hAnsi="仿宋" w:eastAsia="仿宋" w:cs="仿宋"/>
                <w:b/>
                <w:i w:val="0"/>
                <w:color w:val="auto"/>
                <w:kern w:val="0"/>
                <w:sz w:val="28"/>
                <w:szCs w:val="28"/>
                <w:highlight w:val="none"/>
                <w:u w:val="none"/>
                <w:lang w:val="en-US" w:eastAsia="zh-CN" w:bidi="ar"/>
              </w:rPr>
              <w:t>KL-TJ1-01</w:t>
            </w:r>
            <w:r>
              <w:rPr>
                <w:rFonts w:hint="eastAsia" w:ascii="仿宋" w:hAnsi="仿宋" w:eastAsia="仿宋" w:cs="仿宋"/>
                <w:b/>
                <w:color w:val="auto"/>
                <w:kern w:val="0"/>
                <w:sz w:val="28"/>
                <w:szCs w:val="28"/>
                <w:highlight w:val="none"/>
                <w:u w:val="none"/>
                <w:lang w:eastAsia="zh-CN" w:bidi="ar"/>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eastAsia="zh-CN"/>
              </w:rPr>
              <w:t>具有</w:t>
            </w:r>
            <w:r>
              <w:rPr>
                <w:rFonts w:hint="eastAsia" w:ascii="宋体" w:hAnsi="宋体" w:cs="宋体"/>
                <w:i w:val="0"/>
                <w:color w:val="auto"/>
                <w:sz w:val="21"/>
                <w:szCs w:val="21"/>
                <w:highlight w:val="none"/>
                <w:u w:val="none"/>
                <w:lang w:val="en-US" w:eastAsia="zh-CN"/>
              </w:rPr>
              <w:t>安C证，相关工作经验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测量负责人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kern w:val="0"/>
                <w:szCs w:val="21"/>
                <w:lang w:bidi="ar"/>
              </w:rPr>
              <w:t>协助项目技术负责人负责项目施工现场测量工作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5</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资料员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kern w:val="0"/>
                <w:szCs w:val="21"/>
                <w:lang w:bidi="ar"/>
              </w:rPr>
              <w:t>协助项目技术负责人</w:t>
            </w:r>
            <w:r>
              <w:rPr>
                <w:rFonts w:hint="eastAsia" w:ascii="宋体" w:hAnsi="宋体" w:eastAsia="宋体" w:cs="宋体"/>
                <w:i w:val="0"/>
                <w:color w:val="auto"/>
                <w:kern w:val="0"/>
                <w:sz w:val="21"/>
                <w:szCs w:val="21"/>
                <w:highlight w:val="none"/>
                <w:u w:val="none"/>
                <w:lang w:val="en-US" w:eastAsia="zh-CN" w:bidi="ar"/>
              </w:rPr>
              <w:t>负责内业工作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6</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隧道专业工程师</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kern w:val="0"/>
                <w:szCs w:val="21"/>
                <w:lang w:bidi="ar"/>
              </w:rPr>
              <w:t>协助项目技术负责人负责项目施工现场</w:t>
            </w:r>
            <w:r>
              <w:rPr>
                <w:rFonts w:hint="eastAsia" w:ascii="宋体" w:hAnsi="宋体" w:cs="宋体"/>
                <w:kern w:val="0"/>
                <w:szCs w:val="21"/>
                <w:lang w:val="en-US" w:eastAsia="zh-CN" w:bidi="ar"/>
              </w:rPr>
              <w:t>管理</w:t>
            </w:r>
            <w:r>
              <w:rPr>
                <w:rFonts w:hint="eastAsia" w:ascii="宋体" w:hAnsi="宋体" w:cs="宋体"/>
                <w:kern w:val="0"/>
                <w:szCs w:val="21"/>
                <w:lang w:bidi="ar"/>
              </w:rPr>
              <w:t>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44"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ind w:left="420" w:hanging="420" w:hangingChars="200"/>
              <w:jc w:val="left"/>
              <w:textAlignment w:val="center"/>
              <w:rPr>
                <w:rFonts w:hint="eastAsia"/>
                <w:lang w:val="en-US" w:eastAsia="zh-CN"/>
              </w:rPr>
            </w:pPr>
            <w:r>
              <w:rPr>
                <w:rFonts w:hint="eastAsia"/>
                <w:lang w:val="en-US" w:eastAsia="zh-CN"/>
              </w:rPr>
              <w:t>注：</w:t>
            </w:r>
          </w:p>
          <w:p>
            <w:pPr>
              <w:pStyle w:val="2"/>
              <w:numPr>
                <w:ilvl w:val="0"/>
                <w:numId w:val="1"/>
              </w:numPr>
              <w:ind w:left="0" w:leftChars="0" w:firstLine="419" w:firstLineChars="233"/>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 xml:space="preserve">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     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 xml:space="preserve">     3、相关管理人员及技术人员必须在岗，有特殊情况离岗必须向项目部请假并得到批准。</w:t>
            </w:r>
          </w:p>
          <w:p>
            <w:pPr>
              <w:pStyle w:val="2"/>
              <w:numPr>
                <w:ilvl w:val="0"/>
                <w:numId w:val="0"/>
              </w:numPr>
              <w:ind w:left="0" w:leftChars="0" w:firstLine="419" w:firstLineChars="233"/>
              <w:rPr>
                <w:rFonts w:hint="default"/>
                <w:lang w:val="en-US"/>
              </w:rPr>
            </w:pPr>
            <w:r>
              <w:rPr>
                <w:rFonts w:hint="eastAsia" w:ascii="宋体" w:hAnsi="宋体" w:eastAsia="宋体" w:cs="宋体"/>
                <w:i w:val="0"/>
                <w:color w:val="auto"/>
                <w:kern w:val="0"/>
                <w:sz w:val="18"/>
                <w:szCs w:val="18"/>
                <w:highlight w:val="none"/>
                <w:u w:val="none"/>
                <w:lang w:val="en-US" w:eastAsia="zh-CN" w:bidi="ar"/>
              </w:rPr>
              <w:t>4、本表双向掘进人员配备。</w:t>
            </w:r>
          </w:p>
        </w:tc>
      </w:tr>
    </w:tbl>
    <w:p>
      <w:pPr>
        <w:pStyle w:val="2"/>
        <w:rPr>
          <w:rFonts w:hint="eastAsia"/>
        </w:rPr>
      </w:pPr>
    </w:p>
    <w:p>
      <w:pPr>
        <w:pStyle w:val="2"/>
        <w:rPr>
          <w:rFonts w:hint="eastAsia"/>
        </w:rPr>
      </w:pPr>
      <w:r>
        <w:rPr>
          <w:rFonts w:hint="eastAsia" w:ascii="宋体" w:hAnsi="宋体" w:eastAsia="宋体" w:cs="宋体"/>
          <w:b/>
          <w:color w:val="auto"/>
          <w:sz w:val="28"/>
          <w:szCs w:val="28"/>
          <w:highlight w:val="none"/>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rPr>
          <w:rFonts w:hint="default"/>
          <w:lang w:val="en-US" w:eastAsia="zh-CN"/>
        </w:rPr>
      </w:pPr>
    </w:p>
    <w:tbl>
      <w:tblPr>
        <w:tblStyle w:val="23"/>
        <w:tblpPr w:leftFromText="180" w:rightFromText="180" w:vertAnchor="text"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155"/>
        <w:gridCol w:w="3046"/>
        <w:gridCol w:w="1040"/>
        <w:gridCol w:w="262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val="0"/>
                <w:color w:val="auto"/>
                <w:kern w:val="0"/>
                <w:sz w:val="28"/>
                <w:szCs w:val="28"/>
                <w:highlight w:val="none"/>
                <w:u w:val="none"/>
                <w:lang w:val="en-US" w:eastAsia="zh-CN" w:bidi="ar"/>
              </w:rPr>
              <w:t>开江至梁平（四川境）高速公路A标段TJ1-01～02土建劳务合作</w:t>
            </w:r>
            <w:r>
              <w:rPr>
                <w:rFonts w:hint="eastAsia" w:ascii="仿宋" w:hAnsi="仿宋" w:eastAsia="仿宋" w:cs="仿宋"/>
                <w:b/>
                <w:bCs w:val="0"/>
                <w:color w:val="auto"/>
                <w:kern w:val="0"/>
                <w:sz w:val="28"/>
                <w:szCs w:val="28"/>
                <w:highlight w:val="none"/>
                <w:u w:val="none"/>
                <w:lang w:eastAsia="zh-CN" w:bidi="ar"/>
              </w:rPr>
              <w:t>各</w:t>
            </w:r>
            <w:r>
              <w:rPr>
                <w:rFonts w:hint="eastAsia" w:ascii="仿宋" w:hAnsi="仿宋" w:eastAsia="仿宋" w:cs="仿宋"/>
                <w:b/>
                <w:bCs/>
                <w:color w:val="auto"/>
                <w:sz w:val="28"/>
                <w:szCs w:val="28"/>
                <w:highlight w:val="none"/>
                <w:lang w:eastAsia="zh-CN"/>
              </w:rPr>
              <w:t>分段</w:t>
            </w:r>
          </w:p>
          <w:p>
            <w:pPr>
              <w:keepNext w:val="0"/>
              <w:keepLines w:val="0"/>
              <w:widowControl/>
              <w:suppressLineNumbers w:val="0"/>
              <w:ind w:firstLine="0" w:firstLineChars="0"/>
              <w:jc w:val="center"/>
              <w:textAlignment w:val="auto"/>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i w:val="0"/>
                <w:color w:val="auto"/>
                <w:kern w:val="0"/>
                <w:sz w:val="28"/>
                <w:szCs w:val="28"/>
                <w:highlight w:val="none"/>
                <w:u w:val="none"/>
                <w:lang w:val="en-US" w:eastAsia="zh-CN" w:bidi="ar"/>
              </w:rPr>
              <w:t>适用于KL-TJ1-02标段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具有满足</w:t>
            </w:r>
            <w:r>
              <w:rPr>
                <w:rFonts w:hint="eastAsia" w:ascii="宋体" w:hAnsi="宋体" w:cs="宋体"/>
                <w:i w:val="0"/>
                <w:color w:val="auto"/>
                <w:kern w:val="0"/>
                <w:sz w:val="21"/>
                <w:szCs w:val="21"/>
                <w:highlight w:val="none"/>
                <w:u w:val="none"/>
                <w:lang w:val="en-US" w:eastAsia="zh-CN" w:bidi="ar"/>
              </w:rPr>
              <w:t>附表2中对应标段一个及以上</w:t>
            </w:r>
            <w:r>
              <w:rPr>
                <w:rFonts w:hint="eastAsia" w:ascii="宋体" w:hAnsi="宋体" w:eastAsia="宋体" w:cs="宋体"/>
                <w:i w:val="0"/>
                <w:color w:val="auto"/>
                <w:kern w:val="0"/>
                <w:sz w:val="21"/>
                <w:szCs w:val="21"/>
                <w:highlight w:val="none"/>
                <w:u w:val="none"/>
                <w:lang w:val="en-US" w:eastAsia="zh-CN" w:bidi="ar"/>
              </w:rPr>
              <w:t>基本业绩的相关管理经验</w:t>
            </w:r>
            <w:r>
              <w:rPr>
                <w:rFonts w:hint="eastAsia" w:ascii="宋体" w:hAnsi="宋体" w:cs="宋体"/>
                <w:i w:val="0"/>
                <w:color w:val="auto"/>
                <w:kern w:val="0"/>
                <w:sz w:val="21"/>
                <w:szCs w:val="21"/>
                <w:highlight w:val="none"/>
                <w:u w:val="none"/>
                <w:lang w:val="en-US" w:eastAsia="zh-CN" w:bidi="ar"/>
              </w:rPr>
              <w:t>，并附有关证明</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eastAsia="zh-CN"/>
              </w:rPr>
              <w:t>具有</w:t>
            </w:r>
            <w:r>
              <w:rPr>
                <w:rFonts w:hint="eastAsia" w:ascii="宋体" w:hAnsi="宋体" w:cs="宋体"/>
                <w:i w:val="0"/>
                <w:color w:val="auto"/>
                <w:sz w:val="21"/>
                <w:szCs w:val="21"/>
                <w:highlight w:val="none"/>
                <w:u w:val="none"/>
                <w:lang w:val="en-US" w:eastAsia="zh-CN"/>
              </w:rPr>
              <w:t>安C证，相关工作经验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4" w:hRule="atLeast"/>
        </w:trPr>
        <w:tc>
          <w:tcPr>
            <w:tcW w:w="91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4</w:t>
            </w:r>
          </w:p>
        </w:tc>
        <w:tc>
          <w:tcPr>
            <w:tcW w:w="215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资料员</w:t>
            </w:r>
          </w:p>
        </w:tc>
        <w:tc>
          <w:tcPr>
            <w:tcW w:w="304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kern w:val="0"/>
                <w:szCs w:val="21"/>
                <w:lang w:bidi="ar"/>
              </w:rPr>
              <w:t>协助项目技术负责人</w:t>
            </w:r>
            <w:r>
              <w:rPr>
                <w:rFonts w:hint="eastAsia" w:ascii="宋体" w:hAnsi="宋体" w:eastAsia="宋体" w:cs="宋体"/>
                <w:i w:val="0"/>
                <w:color w:val="auto"/>
                <w:kern w:val="0"/>
                <w:sz w:val="21"/>
                <w:szCs w:val="21"/>
                <w:highlight w:val="none"/>
                <w:u w:val="none"/>
                <w:lang w:val="en-US" w:eastAsia="zh-CN" w:bidi="ar"/>
              </w:rPr>
              <w:t>负责内业工作</w:t>
            </w:r>
          </w:p>
        </w:tc>
        <w:tc>
          <w:tcPr>
            <w:tcW w:w="10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eastAsia="zh-CN"/>
              </w:rPr>
            </w:pPr>
            <w:r>
              <w:rPr>
                <w:rFonts w:hint="eastAsia" w:ascii="宋体" w:hAnsi="宋体" w:cs="宋体"/>
                <w:i w:val="0"/>
                <w:color w:val="auto"/>
                <w:sz w:val="21"/>
                <w:szCs w:val="21"/>
                <w:highlight w:val="none"/>
                <w:u w:val="none"/>
                <w:lang w:eastAsia="zh-CN"/>
              </w:rPr>
              <w:t>具有相关工作经验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
        <w:rPr>
          <w:rFonts w:hint="eastAsia"/>
        </w:rPr>
      </w:pPr>
    </w:p>
    <w:p>
      <w:pPr>
        <w:pStyle w:val="2"/>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pPr>
        <w:widowControl/>
        <w:jc w:val="left"/>
        <w:textAlignment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p>
      <w:pPr>
        <w:pStyle w:val="2"/>
        <w:rPr>
          <w:rFonts w:hint="eastAsia"/>
          <w:lang w:eastAsia="zh-CN"/>
        </w:rPr>
      </w:pPr>
    </w:p>
    <w:p>
      <w:pPr>
        <w:pStyle w:val="65"/>
        <w:tabs>
          <w:tab w:val="right" w:leader="dot" w:pos="8306"/>
        </w:tabs>
        <w:jc w:val="center"/>
        <w:rPr>
          <w:rFonts w:hint="eastAsia" w:ascii="仿宋" w:hAnsi="仿宋" w:eastAsia="仿宋" w:cs="仿宋"/>
          <w:b/>
          <w:bCs/>
          <w:sz w:val="28"/>
          <w:szCs w:val="28"/>
        </w:rPr>
      </w:pPr>
      <w:r>
        <w:rPr>
          <w:rFonts w:hint="eastAsia" w:ascii="仿宋" w:hAnsi="仿宋" w:eastAsia="仿宋" w:cs="仿宋"/>
          <w:b/>
          <w:bCs w:val="0"/>
          <w:color w:val="auto"/>
          <w:kern w:val="0"/>
          <w:sz w:val="28"/>
          <w:szCs w:val="28"/>
          <w:highlight w:val="none"/>
          <w:u w:val="none"/>
          <w:lang w:val="en-US" w:eastAsia="zh-CN" w:bidi="ar"/>
        </w:rPr>
        <w:t>开江至梁平（四川境）高速公路A标段TJ1-01～02土建劳务合作</w:t>
      </w:r>
      <w:r>
        <w:rPr>
          <w:rFonts w:hint="eastAsia" w:ascii="仿宋" w:hAnsi="仿宋" w:eastAsia="仿宋" w:cs="仿宋"/>
          <w:b/>
          <w:bCs/>
          <w:sz w:val="28"/>
          <w:szCs w:val="28"/>
        </w:rPr>
        <w:t>各分段</w:t>
      </w:r>
    </w:p>
    <w:p>
      <w:pPr>
        <w:pStyle w:val="65"/>
        <w:tabs>
          <w:tab w:val="right" w:leader="dot" w:pos="8306"/>
        </w:tabs>
        <w:jc w:val="center"/>
        <w:rPr>
          <w:rFonts w:ascii="等线" w:hAnsi="等线" w:eastAsia="等线" w:cs="等线"/>
          <w:b/>
          <w:bCs/>
          <w:sz w:val="28"/>
          <w:szCs w:val="28"/>
          <w:lang w:bidi="zh-CN"/>
        </w:rPr>
      </w:pPr>
      <w:r>
        <w:rPr>
          <w:rFonts w:hint="eastAsia" w:ascii="仿宋" w:hAnsi="仿宋" w:eastAsia="仿宋" w:cs="仿宋"/>
          <w:b/>
          <w:bCs/>
          <w:sz w:val="28"/>
          <w:szCs w:val="28"/>
        </w:rPr>
        <w:t>拟</w:t>
      </w:r>
      <w:r>
        <w:rPr>
          <w:rFonts w:hint="eastAsia" w:ascii="仿宋" w:hAnsi="仿宋" w:eastAsia="仿宋" w:cs="仿宋"/>
          <w:b/>
          <w:sz w:val="28"/>
          <w:szCs w:val="28"/>
        </w:rPr>
        <w:t>投入设备明细表(最低要求）</w:t>
      </w:r>
    </w:p>
    <w:p>
      <w:pPr>
        <w:pStyle w:val="2"/>
        <w:ind w:firstLine="0"/>
        <w:jc w:val="center"/>
        <w:rPr>
          <w:rFonts w:ascii="宋体" w:hAnsi="宋体" w:eastAsia="宋体" w:cs="宋体"/>
          <w:b/>
          <w:sz w:val="28"/>
          <w:szCs w:val="28"/>
        </w:rPr>
      </w:pPr>
      <w:r>
        <w:rPr>
          <w:rFonts w:hint="eastAsia" w:cs="仿宋"/>
          <w:b/>
          <w:sz w:val="28"/>
          <w:szCs w:val="28"/>
        </w:rPr>
        <w:t>适用于</w:t>
      </w:r>
      <w:r>
        <w:rPr>
          <w:rFonts w:hint="eastAsia" w:cs="仿宋"/>
          <w:b/>
          <w:sz w:val="28"/>
          <w:szCs w:val="28"/>
          <w:lang w:val="en-US" w:eastAsia="zh-CN"/>
        </w:rPr>
        <w:t>KL-TJ1-01</w:t>
      </w:r>
      <w:r>
        <w:rPr>
          <w:rFonts w:hint="eastAsia" w:cs="仿宋"/>
          <w:b/>
          <w:sz w:val="28"/>
          <w:szCs w:val="28"/>
        </w:rPr>
        <w:t>分段</w:t>
      </w:r>
    </w:p>
    <w:tbl>
      <w:tblPr>
        <w:tblStyle w:val="23"/>
        <w:tblW w:w="9492" w:type="dxa"/>
        <w:tblInd w:w="222" w:type="dxa"/>
        <w:tblLayout w:type="fixed"/>
        <w:tblCellMar>
          <w:top w:w="0" w:type="dxa"/>
          <w:left w:w="108" w:type="dxa"/>
          <w:bottom w:w="0" w:type="dxa"/>
          <w:right w:w="108" w:type="dxa"/>
        </w:tblCellMar>
      </w:tblPr>
      <w:tblGrid>
        <w:gridCol w:w="676"/>
        <w:gridCol w:w="1762"/>
        <w:gridCol w:w="992"/>
        <w:gridCol w:w="596"/>
        <w:gridCol w:w="822"/>
        <w:gridCol w:w="894"/>
        <w:gridCol w:w="1067"/>
        <w:gridCol w:w="767"/>
        <w:gridCol w:w="716"/>
        <w:gridCol w:w="1200"/>
      </w:tblGrid>
      <w:tr>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序号</w:t>
            </w:r>
          </w:p>
        </w:tc>
        <w:tc>
          <w:tcPr>
            <w:tcW w:w="1762"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机械设备名称</w:t>
            </w:r>
          </w:p>
        </w:tc>
        <w:tc>
          <w:tcPr>
            <w:tcW w:w="992"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596"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260" w:lineRule="exact"/>
              <w:ind w:firstLine="210" w:firstLineChars="100"/>
              <w:jc w:val="center"/>
              <w:rPr>
                <w:bCs/>
                <w:szCs w:val="21"/>
                <w:lang w:val="en-US" w:bidi="ar-SA"/>
              </w:rPr>
            </w:pPr>
            <w:r>
              <w:rPr>
                <w:rFonts w:hint="eastAsia"/>
                <w:szCs w:val="21"/>
                <w:lang w:val="en-US"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cs="宋体"/>
                <w:szCs w:val="21"/>
              </w:rPr>
            </w:pPr>
            <w:r>
              <w:rPr>
                <w:rFonts w:hint="eastAsia" w:ascii="宋体" w:hAnsi="宋体" w:cs="宋体"/>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bidi="ar-SA"/>
              </w:rPr>
            </w:pPr>
            <w:r>
              <w:rPr>
                <w:rFonts w:hint="eastAsia"/>
                <w:szCs w:val="21"/>
                <w:lang w:val="en-US" w:bidi="ar-SA"/>
              </w:rPr>
              <w:t>加分上限</w:t>
            </w:r>
          </w:p>
        </w:tc>
        <w:tc>
          <w:tcPr>
            <w:tcW w:w="716"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bidi="ar-SA"/>
              </w:rPr>
            </w:pPr>
            <w:r>
              <w:rPr>
                <w:rFonts w:hint="eastAsia"/>
                <w:szCs w:val="21"/>
                <w:lang w:val="en-US" w:bidi="ar-SA"/>
              </w:rPr>
              <w:t>出厂日期</w:t>
            </w:r>
          </w:p>
        </w:tc>
        <w:tc>
          <w:tcPr>
            <w:tcW w:w="1200"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bidi="ar-SA"/>
              </w:rPr>
            </w:pPr>
            <w:r>
              <w:rPr>
                <w:rFonts w:hint="eastAsia"/>
                <w:szCs w:val="21"/>
                <w:lang w:val="en-US" w:bidi="ar-SA"/>
              </w:rPr>
              <w:t>备注</w:t>
            </w:r>
          </w:p>
        </w:tc>
      </w:tr>
      <w:tr>
        <w:tblPrEx>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76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992"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59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260" w:lineRule="exact"/>
              <w:jc w:val="center"/>
              <w:rPr>
                <w:bCs/>
                <w:szCs w:val="21"/>
                <w:lang w:val="en-US" w:bidi="ar-SA"/>
              </w:rPr>
            </w:pPr>
            <w:r>
              <w:rPr>
                <w:rFonts w:hint="eastAsia"/>
                <w:szCs w:val="21"/>
                <w:lang w:val="en-US" w:bidi="ar-SA"/>
              </w:rPr>
              <w:t>总数量</w:t>
            </w:r>
          </w:p>
        </w:tc>
        <w:tc>
          <w:tcPr>
            <w:tcW w:w="894" w:type="dxa"/>
            <w:tcBorders>
              <w:left w:val="single" w:color="000000" w:sz="4" w:space="0"/>
              <w:bottom w:val="single" w:color="000000" w:sz="4" w:space="0"/>
              <w:right w:val="single" w:color="000000" w:sz="4" w:space="0"/>
              <w:tl2br w:val="nil"/>
              <w:tr2bl w:val="nil"/>
            </w:tcBorders>
            <w:vAlign w:val="center"/>
          </w:tcPr>
          <w:p>
            <w:pPr>
              <w:pStyle w:val="54"/>
              <w:spacing w:line="260" w:lineRule="exact"/>
              <w:jc w:val="center"/>
              <w:rPr>
                <w:bCs/>
                <w:szCs w:val="21"/>
                <w:lang w:val="en-US" w:bidi="ar-SA"/>
              </w:rPr>
            </w:pPr>
            <w:r>
              <w:rPr>
                <w:rFonts w:hint="eastAsia"/>
                <w:szCs w:val="21"/>
                <w:lang w:val="en-US"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rPr>
            </w:pPr>
            <w:r>
              <w:rPr>
                <w:rFonts w:hint="eastAsia"/>
                <w:szCs w:val="21"/>
                <w:lang w:val="en-US"/>
              </w:rPr>
              <w:t>1</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挖掘机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r>
              <w:rPr>
                <w:rFonts w:hint="eastAsia" w:ascii="宋体" w:hAnsi="宋体" w:cs="宋体"/>
                <w:szCs w:val="21"/>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r>
              <w:rPr>
                <w:rFonts w:hint="eastAsia" w:ascii="宋体" w:hAnsi="宋体" w:cs="宋体"/>
                <w:szCs w:val="21"/>
              </w:rPr>
              <w:t>1</w:t>
            </w:r>
          </w:p>
        </w:tc>
        <w:tc>
          <w:tcPr>
            <w:tcW w:w="716" w:type="dxa"/>
            <w:vMerge w:val="restart"/>
            <w:tcBorders>
              <w:top w:val="single" w:color="000000" w:sz="4" w:space="0"/>
              <w:left w:val="single" w:color="auto"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Cs w:val="21"/>
              </w:rPr>
            </w:pPr>
            <w:r>
              <w:rPr>
                <w:rFonts w:hint="eastAsia" w:ascii="宋体" w:hAnsi="宋体" w:cs="宋体"/>
              </w:rPr>
              <w:t>201</w:t>
            </w:r>
            <w:r>
              <w:rPr>
                <w:rFonts w:hint="eastAsia" w:ascii="宋体" w:hAnsi="宋体" w:cs="宋体"/>
                <w:lang w:val="en-US" w:eastAsia="zh-CN"/>
              </w:rPr>
              <w:t>6</w:t>
            </w:r>
            <w:r>
              <w:rPr>
                <w:rFonts w:hint="eastAsia" w:ascii="宋体" w:hAnsi="宋体" w:cs="宋体"/>
              </w:rPr>
              <w:t>年1月后</w:t>
            </w:r>
          </w:p>
        </w:tc>
        <w:tc>
          <w:tcPr>
            <w:tcW w:w="1200" w:type="dxa"/>
            <w:vMerge w:val="restart"/>
            <w:tcBorders>
              <w:top w:val="single" w:color="000000" w:sz="4" w:space="0"/>
              <w:left w:val="single" w:color="000000" w:sz="4" w:space="0"/>
              <w:right w:val="single" w:color="000000" w:sz="4" w:space="0"/>
              <w:tl2br w:val="nil"/>
              <w:tr2bl w:val="nil"/>
            </w:tcBorders>
            <w:vAlign w:val="center"/>
          </w:tcPr>
          <w:p>
            <w:pPr>
              <w:widowControl/>
              <w:spacing w:line="260" w:lineRule="exact"/>
              <w:ind w:right="5"/>
              <w:jc w:val="center"/>
              <w:textAlignment w:val="center"/>
              <w:rPr>
                <w:szCs w:val="21"/>
              </w:rPr>
            </w:pPr>
            <w:r>
              <w:rPr>
                <w:rFonts w:hint="eastAsia" w:ascii="宋体" w:hAnsi="宋体" w:cs="宋体"/>
              </w:rPr>
              <w:t>自有设备需提供购买发票或公证机关出具的公证书</w:t>
            </w:r>
          </w:p>
        </w:tc>
      </w:tr>
      <w:tr>
        <w:tblPrEx>
          <w:tblCellMar>
            <w:top w:w="0" w:type="dxa"/>
            <w:left w:w="108" w:type="dxa"/>
            <w:bottom w:w="0" w:type="dxa"/>
            <w:right w:w="108" w:type="dxa"/>
          </w:tblCellMar>
        </w:tblPrEx>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2</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侧卸式装载机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r>
              <w:rPr>
                <w:rFonts w:hint="eastAsia" w:ascii="宋体" w:hAnsi="宋体" w:cs="宋体"/>
                <w:szCs w:val="21"/>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716" w:type="dxa"/>
            <w:vMerge w:val="continue"/>
            <w:tcBorders>
              <w:left w:val="single" w:color="auto"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Cs w:val="21"/>
              </w:rPr>
            </w:pPr>
          </w:p>
        </w:tc>
        <w:tc>
          <w:tcPr>
            <w:tcW w:w="1200" w:type="dxa"/>
            <w:vMerge w:val="continue"/>
            <w:tcBorders>
              <w:left w:val="single" w:color="000000" w:sz="4" w:space="0"/>
              <w:right w:val="single" w:color="000000" w:sz="4" w:space="0"/>
              <w:tl2br w:val="nil"/>
              <w:tr2bl w:val="nil"/>
            </w:tcBorders>
            <w:vAlign w:val="center"/>
          </w:tcPr>
          <w:p>
            <w:pPr>
              <w:widowControl/>
              <w:spacing w:line="260" w:lineRule="exact"/>
              <w:ind w:right="5"/>
              <w:jc w:val="center"/>
              <w:textAlignment w:val="center"/>
              <w:rPr>
                <w:rFonts w:ascii="宋体" w:hAnsi="宋体" w:cs="宋体"/>
                <w:szCs w:val="21"/>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3</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砼输送泵</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Cs w:val="21"/>
                <w:lang w:eastAsia="zh-CN" w:bidi="zh-CN"/>
              </w:rPr>
            </w:pPr>
            <w:r>
              <w:rPr>
                <w:rFonts w:hint="eastAsia" w:ascii="宋体" w:hAnsi="宋体" w:cs="宋体"/>
                <w:szCs w:val="21"/>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rightChars="0"/>
              <w:jc w:val="center"/>
              <w:textAlignment w:val="center"/>
              <w:rPr>
                <w:rFonts w:hint="eastAsia" w:ascii="宋体" w:hAnsi="宋体" w:eastAsia="宋体" w:cs="宋体"/>
                <w:szCs w:val="21"/>
                <w:lang w:eastAsia="zh-CN" w:bidi="zh-CN"/>
              </w:rPr>
            </w:pPr>
            <w:r>
              <w:rPr>
                <w:rFonts w:hint="eastAsia" w:ascii="宋体" w:hAnsi="宋体" w:cs="宋体"/>
                <w:szCs w:val="21"/>
                <w:lang w:val="en-US" w:eastAsia="zh-CN"/>
              </w:rPr>
              <w:t>1</w:t>
            </w: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sz w:val="24"/>
                <w:szCs w:val="24"/>
                <w:lang w:bidi="zh-CN"/>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4</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衬砌台车</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12m</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w:t>
            </w: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5</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空压机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22m³</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rightChars="0"/>
              <w:jc w:val="center"/>
              <w:textAlignment w:val="center"/>
              <w:rPr>
                <w:rFonts w:ascii="宋体" w:hAnsi="宋体" w:cs="宋体"/>
                <w:bCs/>
                <w:szCs w:val="21"/>
              </w:rPr>
            </w:pPr>
            <w:r>
              <w:rPr>
                <w:rFonts w:hint="eastAsia" w:ascii="宋体" w:hAnsi="宋体" w:cs="宋体"/>
                <w:szCs w:val="21"/>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rightChars="0"/>
              <w:jc w:val="center"/>
              <w:textAlignment w:val="center"/>
              <w:rPr>
                <w:rFonts w:hint="default" w:ascii="宋体" w:hAnsi="宋体" w:eastAsia="宋体" w:cs="宋体"/>
                <w:bCs/>
                <w:szCs w:val="21"/>
                <w:lang w:val="en-US" w:eastAsia="zh-CN"/>
              </w:rPr>
            </w:pPr>
            <w:r>
              <w:rPr>
                <w:rFonts w:hint="eastAsia" w:ascii="宋体" w:hAnsi="宋体" w:cs="宋体"/>
                <w:bCs/>
                <w:szCs w:val="21"/>
                <w:lang w:val="en-US" w:eastAsia="zh-CN"/>
              </w:rPr>
              <w:t>1</w:t>
            </w: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rPr>
            </w:pPr>
            <w:r>
              <w:rPr>
                <w:rFonts w:hint="eastAsia"/>
                <w:szCs w:val="21"/>
                <w:lang w:val="en-US"/>
              </w:rPr>
              <w:t>6</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发电机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200KW</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rPr>
            </w:pPr>
            <w:r>
              <w:rPr>
                <w:rFonts w:hint="eastAsia"/>
                <w:szCs w:val="21"/>
                <w:lang w:val="en-US"/>
              </w:rPr>
              <w:t>7</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自卸车</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szCs w:val="21"/>
              </w:rPr>
              <w:t>20m³</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16</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lang w:val="en-US"/>
              </w:rPr>
              <w:t>8</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隧道风机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lang w:val="en-US"/>
              </w:rPr>
              <w:t>9</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注浆泵</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rPr>
            </w:pPr>
            <w:r>
              <w:rPr>
                <w:rFonts w:hint="eastAsia"/>
                <w:szCs w:val="21"/>
                <w:lang w:val="en-US"/>
              </w:rPr>
              <w:t>10</w:t>
            </w:r>
          </w:p>
        </w:tc>
        <w:tc>
          <w:tcPr>
            <w:tcW w:w="1762"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潜孔钻</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1</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洒水车</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10m³</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辆</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400" w:lineRule="exact"/>
              <w:jc w:val="center"/>
              <w:rPr>
                <w:rFonts w:hint="eastAsia" w:ascii="宋体" w:hAnsi="宋体" w:eastAsia="宋体" w:cs="宋体"/>
                <w:kern w:val="2"/>
                <w:sz w:val="21"/>
                <w:szCs w:val="21"/>
                <w:lang w:val="en-US" w:eastAsia="zh-CN" w:bidi="zh-CN"/>
              </w:rPr>
            </w:pPr>
            <w:r>
              <w:rPr>
                <w:rFonts w:hint="eastAsia"/>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pStyle w:val="54"/>
              <w:spacing w:line="400" w:lineRule="exact"/>
              <w:jc w:val="center"/>
              <w:rPr>
                <w:rFonts w:ascii="宋体" w:hAnsi="宋体" w:eastAsia="宋体" w:cs="宋体"/>
                <w:kern w:val="2"/>
                <w:sz w:val="21"/>
                <w:szCs w:val="21"/>
                <w:lang w:val="en-US" w:eastAsia="zh-CN" w:bidi="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2</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锚杆钻机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ascii="宋体" w:hAnsi="宋体" w:eastAsia="宋体" w:cs="宋体"/>
                <w:kern w:val="2"/>
                <w:sz w:val="21"/>
                <w:szCs w:val="21"/>
                <w:lang w:val="en-US" w:eastAsia="zh-CN" w:bidi="ar-SA"/>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3</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自行式仰拱栈桥</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ascii="宋体" w:hAnsi="宋体" w:eastAsia="宋体" w:cs="宋体"/>
                <w:kern w:val="2"/>
                <w:sz w:val="21"/>
                <w:szCs w:val="21"/>
                <w:lang w:val="en-US" w:eastAsia="zh-CN" w:bidi="ar-SA"/>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4</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szCs w:val="21"/>
                <w:lang w:eastAsia="zh-CN"/>
              </w:rPr>
              <w:t>拌和</w:t>
            </w:r>
            <w:r>
              <w:rPr>
                <w:rFonts w:hint="eastAsia" w:ascii="宋体" w:hAnsi="宋体" w:cs="宋体"/>
                <w:szCs w:val="21"/>
              </w:rPr>
              <w:t>站</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90型</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5</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textAlignment w:val="center"/>
              <w:rPr>
                <w:rFonts w:ascii="宋体" w:hAnsi="宋体" w:eastAsia="宋体" w:cs="宋体"/>
                <w:kern w:val="2"/>
                <w:sz w:val="21"/>
                <w:szCs w:val="21"/>
                <w:lang w:val="en-US" w:eastAsia="zh-CN" w:bidi="ar-SA"/>
              </w:rPr>
            </w:pPr>
            <w:r>
              <w:rPr>
                <w:rFonts w:hint="eastAsia" w:ascii="宋体" w:hAnsi="宋体" w:cs="宋体"/>
                <w:szCs w:val="21"/>
              </w:rPr>
              <w:t>多功能立拱台车</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r>
              <w:rPr>
                <w:rFonts w:hint="eastAsia" w:ascii="宋体" w:hAnsi="宋体" w:cs="宋体"/>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ascii="宋体" w:hAnsi="宋体" w:eastAsia="宋体" w:cs="宋体"/>
                <w:kern w:val="2"/>
                <w:sz w:val="21"/>
                <w:szCs w:val="21"/>
                <w:lang w:val="en-US" w:eastAsia="zh-CN" w:bidi="ar-SA"/>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jc w:val="center"/>
              <w:rPr>
                <w:rFonts w:hint="eastAsia" w:ascii="宋体" w:hAnsi="宋体" w:eastAsia="宋体" w:cs="宋体"/>
                <w:kern w:val="2"/>
                <w:sz w:val="21"/>
                <w:szCs w:val="21"/>
                <w:lang w:val="en-US" w:eastAsia="zh-CN" w:bidi="ar-SA"/>
              </w:rPr>
            </w:pPr>
            <w:r>
              <w:rPr>
                <w:rFonts w:hint="eastAsia" w:ascii="宋体" w:hAnsi="宋体" w:cs="宋体"/>
                <w:szCs w:val="21"/>
              </w:rPr>
              <w:t>1</w:t>
            </w:r>
            <w:r>
              <w:rPr>
                <w:rFonts w:hint="eastAsia" w:ascii="宋体" w:hAnsi="宋体" w:cs="宋体"/>
                <w:szCs w:val="21"/>
                <w:lang w:val="en-US" w:eastAsia="zh-CN"/>
              </w:rPr>
              <w:t>6</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lang w:val="en-US" w:eastAsia="zh-CN" w:bidi="ar-SA"/>
              </w:rPr>
            </w:pPr>
            <w:r>
              <w:rPr>
                <w:rFonts w:hint="eastAsia" w:ascii="宋体" w:hAnsi="宋体" w:cs="宋体"/>
                <w:bCs/>
                <w:szCs w:val="21"/>
              </w:rPr>
              <w:t>砼湿喷机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lang w:val="en-US" w:eastAsia="zh-CN" w:bidi="ar-SA"/>
              </w:rPr>
            </w:pPr>
            <w:r>
              <w:rPr>
                <w:rFonts w:hint="eastAsia" w:ascii="宋体" w:hAnsi="宋体" w:cs="宋体"/>
                <w:bCs/>
                <w:szCs w:val="21"/>
              </w:rPr>
              <w:t>/</w:t>
            </w: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eastAsia="宋体" w:cs="宋体"/>
                <w:bCs/>
                <w:kern w:val="2"/>
                <w:sz w:val="21"/>
                <w:szCs w:val="21"/>
                <w:lang w:val="en-US" w:eastAsia="zh-CN" w:bidi="ar-SA"/>
              </w:rPr>
            </w:pPr>
            <w:r>
              <w:rPr>
                <w:rFonts w:hint="eastAsia" w:ascii="宋体" w:hAnsi="宋体" w:cs="宋体"/>
                <w:bCs/>
                <w:szCs w:val="21"/>
              </w:rPr>
              <w:t>台</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4</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2</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eastAsia="宋体" w:cs="宋体"/>
                <w:kern w:val="2"/>
                <w:sz w:val="21"/>
                <w:szCs w:val="22"/>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eastAsia="宋体" w:cs="宋体"/>
                <w:kern w:val="2"/>
                <w:sz w:val="21"/>
                <w:szCs w:val="22"/>
                <w:lang w:val="en-US" w:eastAsia="zh-CN" w:bidi="ar-SA"/>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ascii="宋体" w:hAnsi="宋体" w:cs="宋体"/>
                <w:szCs w:val="21"/>
                <w:lang w:val="en-US"/>
              </w:rPr>
            </w:pPr>
            <w:r>
              <w:rPr>
                <w:rFonts w:hint="eastAsia"/>
                <w:szCs w:val="21"/>
                <w:lang w:val="en-US" w:eastAsia="zh-CN"/>
              </w:rPr>
              <w:t>17</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top"/>
          </w:tcPr>
          <w:p>
            <w:pPr>
              <w:spacing w:line="440" w:lineRule="exact"/>
              <w:jc w:val="center"/>
              <w:rPr>
                <w:rFonts w:ascii="宋体" w:hAnsi="宋体" w:cs="宋体"/>
                <w:bCs/>
                <w:szCs w:val="21"/>
              </w:rPr>
            </w:pPr>
            <w:r>
              <w:rPr>
                <w:rFonts w:hint="eastAsia" w:ascii="宋体" w:hAnsi="宋体" w:cs="宋体"/>
                <w:bCs/>
                <w:szCs w:val="21"/>
                <w:lang w:val="en-US" w:eastAsia="zh-CN"/>
              </w:rPr>
              <w:t>污水处理设备</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套</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ascii="宋体" w:hAnsi="宋体" w:cs="宋体"/>
                <w:szCs w:val="21"/>
                <w:lang w:val="en-US"/>
              </w:rPr>
            </w:pPr>
            <w:r>
              <w:rPr>
                <w:rFonts w:hint="eastAsia"/>
                <w:szCs w:val="21"/>
                <w:lang w:val="en-US" w:eastAsia="zh-CN"/>
              </w:rPr>
              <w:t>18</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环保压滤机</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套</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rPr>
            </w:pPr>
          </w:p>
        </w:tc>
        <w:tc>
          <w:tcPr>
            <w:tcW w:w="716" w:type="dxa"/>
            <w:vMerge w:val="continue"/>
            <w:tcBorders>
              <w:left w:val="single" w:color="auto"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r>
        <w:trPr>
          <w:trHeight w:val="510"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ascii="宋体" w:hAnsi="宋体" w:eastAsia="宋体" w:cs="宋体"/>
                <w:szCs w:val="21"/>
                <w:lang w:val="en-US" w:eastAsia="zh-CN"/>
              </w:rPr>
            </w:pPr>
            <w:r>
              <w:rPr>
                <w:rFonts w:hint="eastAsia" w:cs="宋体"/>
                <w:szCs w:val="21"/>
                <w:lang w:val="en-US" w:eastAsia="zh-CN"/>
              </w:rPr>
              <w:t>19</w:t>
            </w:r>
          </w:p>
        </w:tc>
        <w:tc>
          <w:tcPr>
            <w:tcW w:w="176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洗车设备</w:t>
            </w:r>
          </w:p>
        </w:tc>
        <w:tc>
          <w:tcPr>
            <w:tcW w:w="9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59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套</w:t>
            </w:r>
          </w:p>
        </w:tc>
        <w:tc>
          <w:tcPr>
            <w:tcW w:w="82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2</w:t>
            </w:r>
          </w:p>
        </w:tc>
        <w:tc>
          <w:tcPr>
            <w:tcW w:w="894"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rPr>
            </w:pPr>
          </w:p>
        </w:tc>
        <w:tc>
          <w:tcPr>
            <w:tcW w:w="716" w:type="dxa"/>
            <w:vMerge w:val="continue"/>
            <w:tcBorders>
              <w:left w:val="single" w:color="auto"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c>
          <w:tcPr>
            <w:tcW w:w="120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 w:val="24"/>
                <w:szCs w:val="24"/>
              </w:rPr>
            </w:pPr>
          </w:p>
        </w:tc>
      </w:tr>
    </w:tbl>
    <w:p>
      <w:pPr>
        <w:widowControl/>
        <w:jc w:val="left"/>
        <w:textAlignment w:val="center"/>
        <w:rPr>
          <w:rFonts w:hint="eastAsia" w:ascii="宋体" w:hAnsi="宋体" w:cs="宋体"/>
          <w:sz w:val="18"/>
          <w:szCs w:val="18"/>
        </w:rPr>
      </w:pPr>
      <w:r>
        <w:rPr>
          <w:rFonts w:hint="eastAsia"/>
          <w:sz w:val="18"/>
          <w:szCs w:val="18"/>
        </w:rPr>
        <w:t>注：</w:t>
      </w:r>
      <w:r>
        <w:rPr>
          <w:rFonts w:hint="eastAsia" w:ascii="宋体" w:hAnsi="宋体" w:cs="宋体"/>
          <w:sz w:val="18"/>
          <w:szCs w:val="18"/>
        </w:rPr>
        <w:t>1、若监理工程师或招标人认为投标人配备的机械设备不能满足现场施工的需要，或不能保证工程质量和进度时，招标人有权要求投标人增加。</w:t>
      </w:r>
    </w:p>
    <w:p>
      <w:pPr>
        <w:keepNext w:val="0"/>
        <w:keepLines w:val="0"/>
        <w:pageBreakBefore w:val="0"/>
        <w:widowControl/>
        <w:kinsoku/>
        <w:wordWrap/>
        <w:overflowPunct/>
        <w:topLinePunct w:val="0"/>
        <w:autoSpaceDE/>
        <w:autoSpaceDN/>
        <w:bidi w:val="0"/>
        <w:adjustRightInd/>
        <w:snapToGrid/>
        <w:ind w:firstLine="360" w:firstLineChars="200"/>
        <w:jc w:val="left"/>
        <w:textAlignment w:val="center"/>
        <w:rPr>
          <w:rFonts w:hint="eastAsia" w:ascii="宋体" w:hAnsi="宋体" w:eastAsia="宋体" w:cs="宋体"/>
          <w:kern w:val="2"/>
          <w:sz w:val="18"/>
          <w:szCs w:val="18"/>
        </w:rPr>
      </w:pPr>
      <w:r>
        <w:rPr>
          <w:rFonts w:hint="eastAsia" w:ascii="宋体" w:hAnsi="宋体" w:cs="宋体"/>
          <w:sz w:val="18"/>
          <w:szCs w:val="18"/>
          <w:lang w:val="en-US" w:eastAsia="zh-CN"/>
        </w:rPr>
        <w:t>2、</w:t>
      </w:r>
      <w:r>
        <w:rPr>
          <w:rFonts w:hint="eastAsia" w:ascii="宋体" w:hAnsi="宋体" w:eastAsia="宋体" w:cs="宋体"/>
          <w:kern w:val="2"/>
          <w:sz w:val="18"/>
          <w:szCs w:val="18"/>
        </w:rPr>
        <w:t>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eastAsia" w:eastAsia="宋体"/>
          <w:lang w:val="en-US" w:eastAsia="zh-CN"/>
        </w:rPr>
      </w:pPr>
      <w:r>
        <w:rPr>
          <w:rFonts w:hint="eastAsia" w:ascii="宋体" w:hAnsi="宋体" w:cs="宋体"/>
          <w:kern w:val="2"/>
          <w:sz w:val="18"/>
          <w:szCs w:val="18"/>
          <w:lang w:val="en-US" w:eastAsia="zh-CN"/>
        </w:rPr>
        <w:t>3、本表要求为双头掘进设备配置。</w:t>
      </w:r>
    </w:p>
    <w:p>
      <w:pPr>
        <w:pStyle w:val="2"/>
        <w:ind w:left="0" w:leftChars="0" w:firstLine="0" w:firstLineChars="0"/>
      </w:pPr>
    </w:p>
    <w:p>
      <w:pPr>
        <w:pStyle w:val="2"/>
        <w:ind w:firstLine="0"/>
        <w:jc w:val="left"/>
        <w:rPr>
          <w:rFonts w:hint="eastAsia" w:ascii="宋体" w:hAnsi="宋体" w:eastAsia="宋体" w:cs="宋体"/>
          <w:b/>
          <w:sz w:val="28"/>
          <w:szCs w:val="28"/>
        </w:rPr>
      </w:pPr>
      <w:r>
        <w:rPr>
          <w:rFonts w:hint="eastAsia" w:ascii="宋体" w:hAnsi="宋体" w:eastAsia="宋体" w:cs="宋体"/>
          <w:b/>
          <w:sz w:val="28"/>
          <w:szCs w:val="28"/>
        </w:rPr>
        <w:t>附表四</w:t>
      </w:r>
    </w:p>
    <w:p/>
    <w:tbl>
      <w:tblPr>
        <w:tblStyle w:val="23"/>
        <w:tblW w:w="9679"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67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33" w:hRule="atLeast"/>
          <w:jc w:val="center"/>
        </w:trPr>
        <w:tc>
          <w:tcPr>
            <w:tcW w:w="9679" w:type="dxa"/>
            <w:tcBorders>
              <w:tl2br w:val="nil"/>
              <w:tr2bl w:val="nil"/>
            </w:tcBorders>
            <w:tcMar>
              <w:top w:w="15" w:type="dxa"/>
              <w:left w:w="15" w:type="dxa"/>
              <w:right w:w="15" w:type="dxa"/>
            </w:tcMar>
            <w:vAlign w:val="center"/>
          </w:tcPr>
          <w:p>
            <w:pPr>
              <w:pStyle w:val="2"/>
              <w:ind w:firstLine="0" w:firstLineChars="0"/>
              <w:jc w:val="center"/>
              <w:rPr>
                <w:rFonts w:hint="eastAsia" w:ascii="仿宋" w:hAnsi="仿宋" w:eastAsia="仿宋" w:cs="仿宋"/>
                <w:b/>
                <w:bCs/>
                <w:sz w:val="28"/>
                <w:szCs w:val="28"/>
              </w:rPr>
            </w:pPr>
            <w:r>
              <w:rPr>
                <w:rFonts w:hint="eastAsia" w:ascii="仿宋" w:hAnsi="仿宋" w:eastAsia="仿宋" w:cs="仿宋"/>
                <w:b/>
                <w:bCs w:val="0"/>
                <w:color w:val="auto"/>
                <w:kern w:val="0"/>
                <w:sz w:val="28"/>
                <w:szCs w:val="28"/>
                <w:highlight w:val="none"/>
                <w:u w:val="none"/>
                <w:lang w:val="en-US" w:eastAsia="zh-CN" w:bidi="ar"/>
              </w:rPr>
              <w:t>开江至梁平（四川境）高速公路A标段TJ1-01～02土建劳务合作</w:t>
            </w:r>
            <w:r>
              <w:rPr>
                <w:rFonts w:hint="eastAsia" w:ascii="仿宋" w:hAnsi="仿宋" w:eastAsia="仿宋" w:cs="仿宋"/>
                <w:b/>
                <w:bCs/>
                <w:sz w:val="28"/>
                <w:szCs w:val="28"/>
              </w:rPr>
              <w:t>各分段</w:t>
            </w:r>
          </w:p>
          <w:p>
            <w:pPr>
              <w:pStyle w:val="2"/>
              <w:ind w:left="0" w:leftChars="0" w:firstLine="0" w:firstLineChars="0"/>
              <w:jc w:val="center"/>
              <w:rPr>
                <w:rFonts w:ascii="等线" w:hAnsi="等线" w:eastAsia="等线" w:cs="等线"/>
                <w:b/>
                <w:bCs/>
                <w:sz w:val="28"/>
                <w:szCs w:val="28"/>
                <w:lang w:bidi="zh-CN"/>
              </w:rPr>
            </w:pPr>
            <w:r>
              <w:rPr>
                <w:rFonts w:hint="eastAsia" w:ascii="仿宋" w:hAnsi="仿宋" w:eastAsia="仿宋" w:cs="仿宋"/>
                <w:b/>
                <w:bCs/>
                <w:sz w:val="28"/>
                <w:szCs w:val="28"/>
              </w:rPr>
              <w:t>拟</w:t>
            </w:r>
            <w:r>
              <w:rPr>
                <w:rFonts w:hint="eastAsia" w:ascii="仿宋" w:hAnsi="仿宋" w:eastAsia="仿宋" w:cs="仿宋"/>
                <w:b/>
                <w:sz w:val="28"/>
                <w:szCs w:val="28"/>
              </w:rPr>
              <w:t>投入设备明细表(最低要求）</w:t>
            </w:r>
          </w:p>
          <w:p>
            <w:pPr>
              <w:pStyle w:val="2"/>
              <w:ind w:firstLine="3292" w:firstLineChars="1171"/>
              <w:rPr>
                <w:rFonts w:ascii="宋体" w:hAnsi="宋体" w:cs="宋体"/>
                <w:b/>
                <w:sz w:val="28"/>
                <w:szCs w:val="28"/>
              </w:rPr>
            </w:pPr>
            <w:r>
              <w:rPr>
                <w:rFonts w:hint="eastAsia" w:cs="仿宋"/>
                <w:b/>
                <w:sz w:val="28"/>
                <w:szCs w:val="28"/>
              </w:rPr>
              <w:t>适用于</w:t>
            </w:r>
            <w:r>
              <w:rPr>
                <w:rFonts w:hint="eastAsia" w:cs="仿宋"/>
                <w:b/>
                <w:sz w:val="28"/>
                <w:szCs w:val="28"/>
                <w:lang w:val="en-US" w:eastAsia="zh-CN"/>
              </w:rPr>
              <w:t>KL-TJ1-02</w:t>
            </w:r>
            <w:r>
              <w:rPr>
                <w:rFonts w:hint="eastAsia" w:cs="仿宋"/>
                <w:b/>
                <w:sz w:val="28"/>
                <w:szCs w:val="28"/>
              </w:rPr>
              <w:t>分段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42" w:hRule="exact"/>
          <w:jc w:val="center"/>
        </w:trPr>
        <w:tc>
          <w:tcPr>
            <w:tcW w:w="9679" w:type="dxa"/>
            <w:tcBorders>
              <w:tl2br w:val="nil"/>
              <w:tr2bl w:val="nil"/>
            </w:tcBorders>
            <w:tcMar>
              <w:top w:w="15" w:type="dxa"/>
              <w:left w:w="15" w:type="dxa"/>
              <w:right w:w="15" w:type="dxa"/>
            </w:tcMar>
            <w:vAlign w:val="center"/>
          </w:tcPr>
          <w:tbl>
            <w:tblPr>
              <w:tblStyle w:val="23"/>
              <w:tblW w:w="8797" w:type="dxa"/>
              <w:jc w:val="center"/>
              <w:tblLayout w:type="fixed"/>
              <w:tblCellMar>
                <w:top w:w="0" w:type="dxa"/>
                <w:left w:w="108" w:type="dxa"/>
                <w:bottom w:w="0" w:type="dxa"/>
                <w:right w:w="108" w:type="dxa"/>
              </w:tblCellMar>
            </w:tblPr>
            <w:tblGrid>
              <w:gridCol w:w="676"/>
              <w:gridCol w:w="1508"/>
              <w:gridCol w:w="1241"/>
              <w:gridCol w:w="690"/>
              <w:gridCol w:w="797"/>
              <w:gridCol w:w="830"/>
              <w:gridCol w:w="1067"/>
              <w:gridCol w:w="767"/>
              <w:gridCol w:w="1221"/>
            </w:tblGrid>
            <w:tr>
              <w:tblPrEx>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序号</w:t>
                  </w:r>
                </w:p>
              </w:tc>
              <w:tc>
                <w:tcPr>
                  <w:tcW w:w="1508"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rPr>
                    <w:t>机械设备名称</w:t>
                  </w:r>
                </w:p>
              </w:tc>
              <w:tc>
                <w:tcPr>
                  <w:tcW w:w="124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69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62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260" w:lineRule="exact"/>
                    <w:ind w:firstLine="210" w:firstLineChars="100"/>
                    <w:jc w:val="center"/>
                    <w:rPr>
                      <w:bCs/>
                      <w:szCs w:val="21"/>
                      <w:lang w:val="en-US" w:bidi="ar-SA"/>
                    </w:rPr>
                  </w:pPr>
                  <w:r>
                    <w:rPr>
                      <w:rFonts w:hint="eastAsia"/>
                      <w:szCs w:val="21"/>
                      <w:lang w:val="en-US" w:bidi="ar-SA"/>
                    </w:rPr>
                    <w:t>基本要求</w:t>
                  </w:r>
                </w:p>
              </w:tc>
              <w:tc>
                <w:tcPr>
                  <w:tcW w:w="1067"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line="260" w:lineRule="exact"/>
                    <w:jc w:val="center"/>
                    <w:rPr>
                      <w:rFonts w:cs="宋体"/>
                      <w:szCs w:val="21"/>
                    </w:rPr>
                  </w:pPr>
                  <w:r>
                    <w:rPr>
                      <w:rFonts w:hint="eastAsia" w:ascii="宋体" w:hAnsi="宋体" w:cs="宋体"/>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bidi="ar-SA"/>
                    </w:rPr>
                  </w:pPr>
                  <w:r>
                    <w:rPr>
                      <w:rFonts w:hint="eastAsia"/>
                      <w:szCs w:val="21"/>
                      <w:lang w:val="en-US" w:bidi="ar-SA"/>
                    </w:rPr>
                    <w:t>加分上限</w:t>
                  </w:r>
                </w:p>
              </w:tc>
              <w:tc>
                <w:tcPr>
                  <w:tcW w:w="1221" w:type="dxa"/>
                  <w:vMerge w:val="restart"/>
                  <w:tcBorders>
                    <w:top w:val="single" w:color="000000" w:sz="4" w:space="0"/>
                    <w:left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bidi="ar-SA"/>
                    </w:rPr>
                  </w:pPr>
                  <w:r>
                    <w:rPr>
                      <w:rFonts w:hint="eastAsia"/>
                      <w:szCs w:val="21"/>
                      <w:lang w:val="en-US" w:bidi="ar-SA"/>
                    </w:rPr>
                    <w:t>备注</w:t>
                  </w:r>
                </w:p>
              </w:tc>
            </w:tr>
            <w:tr>
              <w:tblPrEx>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50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124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69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szCs w:val="21"/>
                    </w:rPr>
                  </w:pP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spacing w:line="260" w:lineRule="exact"/>
                    <w:jc w:val="center"/>
                    <w:rPr>
                      <w:bCs/>
                      <w:szCs w:val="21"/>
                      <w:lang w:val="en-US" w:bidi="ar-SA"/>
                    </w:rPr>
                  </w:pPr>
                  <w:r>
                    <w:rPr>
                      <w:rFonts w:hint="eastAsia"/>
                      <w:szCs w:val="21"/>
                      <w:lang w:val="en-US" w:bidi="ar-SA"/>
                    </w:rPr>
                    <w:t>总数量</w:t>
                  </w:r>
                </w:p>
              </w:tc>
              <w:tc>
                <w:tcPr>
                  <w:tcW w:w="830" w:type="dxa"/>
                  <w:tcBorders>
                    <w:left w:val="single" w:color="000000" w:sz="4" w:space="0"/>
                    <w:bottom w:val="single" w:color="000000" w:sz="4" w:space="0"/>
                    <w:right w:val="single" w:color="000000" w:sz="4" w:space="0"/>
                    <w:tl2br w:val="nil"/>
                    <w:tr2bl w:val="nil"/>
                  </w:tcBorders>
                  <w:vAlign w:val="center"/>
                </w:tcPr>
                <w:p>
                  <w:pPr>
                    <w:pStyle w:val="54"/>
                    <w:spacing w:line="260" w:lineRule="exact"/>
                    <w:jc w:val="center"/>
                    <w:rPr>
                      <w:bCs/>
                      <w:szCs w:val="21"/>
                      <w:lang w:val="en-US" w:bidi="ar-SA"/>
                    </w:rPr>
                  </w:pPr>
                  <w:r>
                    <w:rPr>
                      <w:rFonts w:hint="eastAsia"/>
                      <w:szCs w:val="21"/>
                      <w:lang w:val="en-US" w:bidi="ar-SA"/>
                    </w:rPr>
                    <w:t>自有设备</w:t>
                  </w:r>
                </w:p>
              </w:tc>
              <w:tc>
                <w:tcPr>
                  <w:tcW w:w="10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122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CellMar>
                  <w:top w:w="0" w:type="dxa"/>
                  <w:left w:w="108" w:type="dxa"/>
                  <w:bottom w:w="0" w:type="dxa"/>
                  <w:right w:w="108" w:type="dxa"/>
                </w:tblCellMar>
              </w:tblPrEx>
              <w:trPr>
                <w:trHeight w:val="550"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lang w:val="en-US"/>
                    </w:rPr>
                  </w:pPr>
                  <w:r>
                    <w:rPr>
                      <w:rFonts w:hint="eastAsia"/>
                      <w:szCs w:val="21"/>
                      <w:lang w:val="en-US" w:eastAsia="zh-CN"/>
                    </w:rPr>
                    <w:t>1</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拌合楼</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120型</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2</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1221" w:type="dxa"/>
                  <w:vMerge w:val="restart"/>
                  <w:tcBorders>
                    <w:top w:val="single" w:color="000000" w:sz="4" w:space="0"/>
                    <w:left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color w:val="auto"/>
                      <w:highlight w:val="none"/>
                      <w:lang w:val="en-US" w:eastAsia="zh-CN"/>
                    </w:rPr>
                  </w:pPr>
                  <w:r>
                    <w:rPr>
                      <w:rFonts w:hint="eastAsia" w:ascii="宋体" w:hAnsi="宋体" w:cs="宋体"/>
                    </w:rPr>
                    <w:t>自有设备需提供购买发票或公证机关出具的公证书</w:t>
                  </w:r>
                </w:p>
                <w:p>
                  <w:pPr>
                    <w:spacing w:line="440" w:lineRule="exact"/>
                    <w:jc w:val="center"/>
                    <w:rPr>
                      <w:rFonts w:ascii="宋体" w:hAnsi="宋体" w:cs="宋体"/>
                      <w:bCs/>
                      <w:color w:val="auto"/>
                      <w:sz w:val="24"/>
                      <w:szCs w:val="24"/>
                    </w:rPr>
                  </w:pPr>
                </w:p>
              </w:tc>
            </w:tr>
            <w:tr>
              <w:tblPrEx>
                <w:tblCellMar>
                  <w:top w:w="0" w:type="dxa"/>
                  <w:left w:w="108" w:type="dxa"/>
                  <w:bottom w:w="0" w:type="dxa"/>
                  <w:right w:w="108" w:type="dxa"/>
                </w:tblCellMar>
              </w:tblPrEx>
              <w:trPr>
                <w:trHeight w:val="550"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szCs w:val="21"/>
                    </w:rPr>
                  </w:pPr>
                  <w:r>
                    <w:rPr>
                      <w:rFonts w:hint="eastAsia"/>
                      <w:szCs w:val="21"/>
                      <w:lang w:val="en-US" w:eastAsia="zh-CN"/>
                    </w:rPr>
                    <w:t>2</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砼运输车</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12方以上</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辆</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10</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val="en-US" w:eastAsia="zh-CN" w:bidi="ar"/>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cs="宋体"/>
                      <w:kern w:val="0"/>
                      <w:szCs w:val="21"/>
                      <w:lang w:val="en-US" w:bidi="ar"/>
                    </w:rPr>
                  </w:pPr>
                  <w:r>
                    <w:rPr>
                      <w:rFonts w:hint="eastAsia" w:ascii="宋体" w:hAnsi="宋体" w:cs="宋体"/>
                      <w:kern w:val="0"/>
                      <w:szCs w:val="21"/>
                      <w:lang w:val="en-US" w:eastAsia="zh-CN" w:bidi="ar"/>
                    </w:rPr>
                    <w:t>1</w:t>
                  </w:r>
                </w:p>
              </w:tc>
              <w:tc>
                <w:tcPr>
                  <w:tcW w:w="1221"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szCs w:val="21"/>
                    </w:rPr>
                  </w:pPr>
                </w:p>
              </w:tc>
            </w:tr>
            <w:tr>
              <w:tblPrEx>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lang w:val="en-US" w:eastAsia="zh-CN"/>
                    </w:rPr>
                  </w:pPr>
                  <w:r>
                    <w:rPr>
                      <w:rFonts w:hint="eastAsia"/>
                      <w:szCs w:val="21"/>
                      <w:lang w:val="en-US" w:eastAsia="zh-CN"/>
                    </w:rPr>
                    <w:t>3</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装载机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50</w:t>
                  </w: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台</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2</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szCs w:val="21"/>
                    </w:rPr>
                  </w:pPr>
                  <w:r>
                    <w:rPr>
                      <w:rFonts w:hint="eastAsia" w:ascii="宋体" w:hAnsi="宋体" w:cs="宋体"/>
                      <w:kern w:val="0"/>
                      <w:szCs w:val="21"/>
                      <w:lang w:val="en-US" w:eastAsia="zh-CN" w:bidi="ar"/>
                    </w:rPr>
                    <w:t>0.5</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szCs w:val="21"/>
                    </w:rPr>
                  </w:pPr>
                  <w:r>
                    <w:rPr>
                      <w:rFonts w:hint="eastAsia" w:ascii="宋体" w:hAnsi="宋体" w:cs="宋体"/>
                      <w:kern w:val="0"/>
                      <w:szCs w:val="21"/>
                      <w:lang w:val="en-US" w:eastAsia="zh-CN" w:bidi="ar"/>
                    </w:rPr>
                    <w:t>1</w:t>
                  </w: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lang w:val="en-US" w:eastAsia="zh-CN"/>
                    </w:rPr>
                  </w:pPr>
                  <w:r>
                    <w:rPr>
                      <w:rFonts w:hint="eastAsia"/>
                      <w:szCs w:val="21"/>
                      <w:lang w:val="en-US" w:eastAsia="zh-CN"/>
                    </w:rPr>
                    <w:t>4</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砂石分离机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套</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830"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1</w:t>
                  </w: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szCs w:val="21"/>
                    </w:rPr>
                  </w:pP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lang w:val="en-US" w:eastAsia="zh-CN"/>
                    </w:rPr>
                  </w:pPr>
                  <w:r>
                    <w:rPr>
                      <w:rFonts w:hint="eastAsia"/>
                      <w:szCs w:val="21"/>
                      <w:lang w:val="en-US" w:eastAsia="zh-CN"/>
                    </w:rPr>
                    <w:t>5</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除尘雾炮机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台</w:t>
                  </w:r>
                </w:p>
              </w:tc>
              <w:tc>
                <w:tcPr>
                  <w:tcW w:w="797" w:type="dxa"/>
                  <w:tcBorders>
                    <w:top w:val="single" w:color="000000" w:sz="4" w:space="0"/>
                    <w:left w:val="single" w:color="000000"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2</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szCs w:val="21"/>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ascii="宋体" w:hAnsi="宋体" w:cs="宋体"/>
                      <w:bCs/>
                      <w:szCs w:val="21"/>
                    </w:rPr>
                  </w:pP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lang w:val="en-US" w:eastAsia="zh-CN"/>
                    </w:rPr>
                  </w:pPr>
                  <w:r>
                    <w:rPr>
                      <w:rFonts w:hint="eastAsia"/>
                      <w:szCs w:val="21"/>
                      <w:lang w:val="en-US" w:eastAsia="zh-CN"/>
                    </w:rPr>
                    <w:t>6</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地磅</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100t(16m)</w:t>
                  </w:r>
                </w:p>
              </w:tc>
              <w:tc>
                <w:tcPr>
                  <w:tcW w:w="69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台</w:t>
                  </w:r>
                </w:p>
              </w:tc>
              <w:tc>
                <w:tcPr>
                  <w:tcW w:w="797" w:type="dxa"/>
                  <w:tcBorders>
                    <w:top w:val="single" w:color="auto" w:sz="4" w:space="0"/>
                    <w:left w:val="single" w:color="auto"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lang w:val="en-US" w:eastAsia="zh-CN"/>
                    </w:rPr>
                  </w:pPr>
                  <w:r>
                    <w:rPr>
                      <w:rFonts w:hint="eastAsia"/>
                      <w:szCs w:val="21"/>
                      <w:lang w:val="en-US" w:eastAsia="zh-CN"/>
                    </w:rPr>
                    <w:t>7</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发电机组</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不小于200KW</w:t>
                  </w:r>
                </w:p>
              </w:tc>
              <w:tc>
                <w:tcPr>
                  <w:tcW w:w="69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台</w:t>
                  </w:r>
                </w:p>
              </w:tc>
              <w:tc>
                <w:tcPr>
                  <w:tcW w:w="797" w:type="dxa"/>
                  <w:tcBorders>
                    <w:top w:val="single" w:color="000000" w:sz="4" w:space="0"/>
                    <w:left w:val="single" w:color="auto"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lang w:val="en-US" w:eastAsia="zh-CN"/>
                    </w:rPr>
                  </w:pPr>
                  <w:r>
                    <w:rPr>
                      <w:rFonts w:hint="eastAsia"/>
                      <w:szCs w:val="21"/>
                      <w:lang w:val="en-US" w:eastAsia="zh-CN"/>
                    </w:rPr>
                    <w:t>8</w:t>
                  </w:r>
                </w:p>
              </w:tc>
              <w:tc>
                <w:tcPr>
                  <w:tcW w:w="1508"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lang w:val="en-US" w:eastAsia="zh-CN"/>
                    </w:rPr>
                    <w:t>污水处理设备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69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套</w:t>
                  </w:r>
                </w:p>
              </w:tc>
              <w:tc>
                <w:tcPr>
                  <w:tcW w:w="797" w:type="dxa"/>
                  <w:tcBorders>
                    <w:top w:val="single" w:color="000000" w:sz="4" w:space="0"/>
                    <w:left w:val="single" w:color="auto"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lang w:val="en-US" w:eastAsia="zh-CN"/>
                    </w:rPr>
                  </w:pPr>
                  <w:r>
                    <w:rPr>
                      <w:rFonts w:hint="eastAsia" w:ascii="宋体" w:hAnsi="宋体" w:cs="宋体"/>
                      <w:kern w:val="0"/>
                      <w:szCs w:val="21"/>
                      <w:lang w:val="en-US" w:eastAsia="zh-CN" w:bidi="ar"/>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lang w:val="en-US" w:eastAsia="zh-CN"/>
                    </w:rPr>
                  </w:pPr>
                  <w:r>
                    <w:rPr>
                      <w:rFonts w:hint="eastAsia" w:ascii="宋体" w:hAnsi="宋体" w:cs="宋体"/>
                      <w:kern w:val="0"/>
                      <w:szCs w:val="21"/>
                      <w:lang w:val="en-US" w:eastAsia="zh-CN" w:bidi="ar"/>
                    </w:rPr>
                    <w:t>1</w:t>
                  </w: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CellMar>
                  <w:top w:w="0" w:type="dxa"/>
                  <w:left w:w="108" w:type="dxa"/>
                  <w:bottom w:w="0" w:type="dxa"/>
                  <w:right w:w="108" w:type="dxa"/>
                </w:tblCellMar>
              </w:tblPrEx>
              <w:trPr>
                <w:trHeight w:val="52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eastAsia" w:eastAsia="宋体"/>
                      <w:szCs w:val="21"/>
                      <w:lang w:val="en-US" w:eastAsia="zh-CN"/>
                    </w:rPr>
                  </w:pPr>
                  <w:r>
                    <w:rPr>
                      <w:rFonts w:hint="eastAsia"/>
                      <w:szCs w:val="21"/>
                      <w:lang w:val="en-US" w:eastAsia="zh-CN"/>
                    </w:rPr>
                    <w:t>9</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rPr>
                  </w:pPr>
                  <w:r>
                    <w:rPr>
                      <w:rFonts w:hint="eastAsia" w:ascii="宋体" w:hAnsi="宋体" w:cs="宋体"/>
                      <w:bCs/>
                      <w:szCs w:val="21"/>
                      <w:lang w:val="en-US" w:eastAsia="zh-CN"/>
                    </w:rPr>
                    <w:t>环保压滤机</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69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cs="宋体"/>
                      <w:bCs/>
                      <w:szCs w:val="21"/>
                    </w:rPr>
                  </w:pPr>
                  <w:r>
                    <w:rPr>
                      <w:rFonts w:hint="eastAsia" w:ascii="宋体" w:hAnsi="宋体" w:cs="宋体"/>
                      <w:bCs/>
                      <w:szCs w:val="21"/>
                      <w:lang w:val="en-US" w:eastAsia="zh-CN"/>
                    </w:rPr>
                    <w:t>套</w:t>
                  </w:r>
                </w:p>
              </w:tc>
              <w:tc>
                <w:tcPr>
                  <w:tcW w:w="797" w:type="dxa"/>
                  <w:tcBorders>
                    <w:top w:val="single" w:color="000000"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83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 w:val="24"/>
                      <w:szCs w:val="24"/>
                      <w:lang w:val="en-US" w:eastAsia="zh-CN"/>
                    </w:rPr>
                  </w:pPr>
                  <w:r>
                    <w:rPr>
                      <w:rFonts w:hint="eastAsia" w:ascii="宋体" w:hAnsi="宋体" w:cs="宋体"/>
                      <w:kern w:val="0"/>
                      <w:szCs w:val="21"/>
                      <w:lang w:val="en-US" w:eastAsia="zh-CN" w:bidi="ar"/>
                    </w:rPr>
                    <w:t>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color w:val="auto"/>
                      <w:sz w:val="24"/>
                      <w:szCs w:val="24"/>
                      <w:lang w:val="en-US" w:eastAsia="zh-CN"/>
                    </w:rPr>
                  </w:pPr>
                  <w:r>
                    <w:rPr>
                      <w:rFonts w:hint="eastAsia" w:ascii="宋体" w:hAnsi="宋体" w:cs="宋体"/>
                      <w:kern w:val="0"/>
                      <w:szCs w:val="21"/>
                      <w:lang w:val="en-US" w:eastAsia="zh-CN" w:bidi="ar"/>
                    </w:rPr>
                    <w:t>1</w:t>
                  </w:r>
                </w:p>
              </w:tc>
              <w:tc>
                <w:tcPr>
                  <w:tcW w:w="1221"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auto"/>
                      <w:sz w:val="24"/>
                      <w:szCs w:val="24"/>
                    </w:rPr>
                  </w:pPr>
                </w:p>
              </w:tc>
            </w:tr>
            <w:tr>
              <w:tblPrEx>
                <w:tblCellMar>
                  <w:top w:w="0" w:type="dxa"/>
                  <w:left w:w="108" w:type="dxa"/>
                  <w:bottom w:w="0" w:type="dxa"/>
                  <w:right w:w="108" w:type="dxa"/>
                </w:tblCellMar>
              </w:tblPrEx>
              <w:trPr>
                <w:trHeight w:val="594"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54"/>
                    <w:kinsoku w:val="0"/>
                    <w:overflowPunct w:val="0"/>
                    <w:spacing w:line="260" w:lineRule="exact"/>
                    <w:jc w:val="center"/>
                    <w:rPr>
                      <w:rFonts w:hint="default" w:eastAsia="宋体"/>
                      <w:szCs w:val="21"/>
                      <w:lang w:val="en-US" w:eastAsia="zh-CN"/>
                    </w:rPr>
                  </w:pPr>
                  <w:r>
                    <w:rPr>
                      <w:rFonts w:hint="eastAsia"/>
                      <w:szCs w:val="21"/>
                      <w:lang w:val="en-US" w:eastAsia="zh-CN"/>
                    </w:rPr>
                    <w:t>10</w:t>
                  </w:r>
                </w:p>
              </w:tc>
              <w:tc>
                <w:tcPr>
                  <w:tcW w:w="1508"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rPr>
                  </w:pPr>
                  <w:r>
                    <w:rPr>
                      <w:rFonts w:hint="eastAsia" w:ascii="宋体" w:hAnsi="宋体" w:cs="宋体"/>
                      <w:bCs/>
                      <w:szCs w:val="21"/>
                      <w:lang w:val="en-US" w:eastAsia="zh-CN"/>
                    </w:rPr>
                    <w:t>洗车设备</w:t>
                  </w:r>
                </w:p>
              </w:tc>
              <w:tc>
                <w:tcPr>
                  <w:tcW w:w="124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p>
              </w:tc>
              <w:tc>
                <w:tcPr>
                  <w:tcW w:w="69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rPr>
                  </w:pPr>
                  <w:r>
                    <w:rPr>
                      <w:rFonts w:hint="eastAsia" w:ascii="宋体" w:hAnsi="宋体" w:cs="宋体"/>
                      <w:bCs/>
                      <w:szCs w:val="21"/>
                      <w:lang w:val="en-US" w:eastAsia="zh-CN"/>
                    </w:rPr>
                    <w:t>套</w:t>
                  </w:r>
                </w:p>
              </w:tc>
              <w:tc>
                <w:tcPr>
                  <w:tcW w:w="797"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lang w:val="en-US" w:eastAsia="zh-CN"/>
                    </w:rPr>
                    <w:t>1</w:t>
                  </w:r>
                </w:p>
              </w:tc>
              <w:tc>
                <w:tcPr>
                  <w:tcW w:w="83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c>
                <w:tcPr>
                  <w:tcW w:w="1221" w:type="dxa"/>
                  <w:vMerge w:val="continue"/>
                  <w:tcBorders>
                    <w:left w:val="single" w:color="auto"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jc w:val="left"/>
              <w:textAlignment w:val="center"/>
            </w:pPr>
          </w:p>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widowControl/>
              <w:ind w:firstLine="360" w:firstLineChars="200"/>
              <w:jc w:val="left"/>
              <w:textAlignment w:val="center"/>
              <w:rPr>
                <w:rFonts w:hint="eastAsia" w:ascii="宋体" w:hAnsi="宋体" w:cs="宋体"/>
                <w:sz w:val="18"/>
                <w:szCs w:val="18"/>
              </w:rPr>
            </w:pPr>
            <w:r>
              <w:rPr>
                <w:rFonts w:hint="eastAsia" w:ascii="宋体" w:hAnsi="宋体" w:cs="宋体"/>
                <w:sz w:val="18"/>
                <w:szCs w:val="18"/>
                <w:lang w:val="en-US" w:eastAsia="zh-CN"/>
              </w:rPr>
              <w:t>2、</w:t>
            </w:r>
            <w:r>
              <w:rPr>
                <w:rFonts w:hint="eastAsia" w:ascii="宋体" w:hAnsi="宋体" w:cs="宋体"/>
                <w:sz w:val="18"/>
                <w:szCs w:val="18"/>
              </w:rPr>
              <w:t>本表中的总数量为承包人中标后向发包人承诺的投入最低设备要求，并以书面形式纳入合同附件。</w:t>
            </w:r>
          </w:p>
          <w:p>
            <w:pPr>
              <w:widowControl/>
              <w:ind w:firstLine="360" w:firstLineChars="200"/>
              <w:jc w:val="left"/>
              <w:textAlignment w:val="center"/>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3、设备需具备施工能力满足实际施工需要，自有设备以购买方发票或公证机关出具的公证书为准。</w:t>
            </w:r>
          </w:p>
          <w:p>
            <w:pPr>
              <w:widowControl/>
              <w:numPr>
                <w:ilvl w:val="255"/>
                <w:numId w:val="0"/>
              </w:numPr>
              <w:jc w:val="left"/>
              <w:textAlignment w:val="center"/>
              <w:rPr>
                <w:rFonts w:ascii="宋体" w:hAnsi="宋体" w:cs="宋体"/>
                <w:kern w:val="0"/>
                <w:sz w:val="18"/>
                <w:szCs w:val="18"/>
                <w:lang w:bidi="ar"/>
              </w:rPr>
            </w:pPr>
          </w:p>
        </w:tc>
      </w:tr>
    </w:tbl>
    <w:p>
      <w:pPr>
        <w:pStyle w:val="2"/>
        <w:ind w:firstLine="0"/>
        <w:jc w:val="left"/>
        <w:rPr>
          <w:rFonts w:ascii="宋体" w:hAnsi="宋体" w:eastAsia="宋体" w:cs="宋体"/>
          <w:b/>
          <w:sz w:val="28"/>
          <w:szCs w:val="28"/>
        </w:rPr>
      </w:pPr>
    </w:p>
    <w:p>
      <w:pPr>
        <w:jc w:val="center"/>
        <w:rPr>
          <w:rFonts w:hint="eastAsia" w:ascii="等线" w:hAnsi="等线" w:eastAsia="等线" w:cs="等线"/>
          <w:b/>
          <w:bCs/>
          <w:color w:val="auto"/>
          <w:sz w:val="48"/>
          <w:szCs w:val="48"/>
          <w:highlight w:val="none"/>
          <w:lang w:bidi="zh-CN"/>
        </w:rPr>
      </w:pPr>
      <w:bookmarkStart w:id="4" w:name="_Toc2466"/>
    </w:p>
    <w:p>
      <w:pPr>
        <w:pStyle w:val="2"/>
        <w:rPr>
          <w:rFonts w:hint="eastAsia"/>
        </w:rPr>
      </w:pPr>
    </w:p>
    <w:bookmarkEnd w:id="0"/>
    <w:bookmarkEnd w:id="1"/>
    <w:bookmarkEnd w:id="2"/>
    <w:bookmarkEnd w:id="3"/>
    <w:bookmarkEnd w:id="4"/>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15"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DjydXTDQIAAAUEAAAOAAAAAAAAAAEAIAAAAB8B&#10;AABkcnMvZTJvRG9jLnhtbFBLBQYAAAAABgAGAFkBAACe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5168;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6028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619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414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2A3B"/>
    <w:multiLevelType w:val="singleLevel"/>
    <w:tmpl w:val="28C22A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C91FF6"/>
    <w:rsid w:val="01D20CB4"/>
    <w:rsid w:val="021379B5"/>
    <w:rsid w:val="02234285"/>
    <w:rsid w:val="02293F6E"/>
    <w:rsid w:val="02E718AC"/>
    <w:rsid w:val="034278EB"/>
    <w:rsid w:val="034362AF"/>
    <w:rsid w:val="036478D0"/>
    <w:rsid w:val="03722D3D"/>
    <w:rsid w:val="03EF34BA"/>
    <w:rsid w:val="04141433"/>
    <w:rsid w:val="043A09CE"/>
    <w:rsid w:val="04875E2C"/>
    <w:rsid w:val="04964555"/>
    <w:rsid w:val="04CB6A7F"/>
    <w:rsid w:val="050D4A7D"/>
    <w:rsid w:val="051677EF"/>
    <w:rsid w:val="051A52E2"/>
    <w:rsid w:val="05407A85"/>
    <w:rsid w:val="05491B83"/>
    <w:rsid w:val="057B26D7"/>
    <w:rsid w:val="059277A1"/>
    <w:rsid w:val="05950823"/>
    <w:rsid w:val="05AE3F52"/>
    <w:rsid w:val="05B4006A"/>
    <w:rsid w:val="05CA6B61"/>
    <w:rsid w:val="05D42EBD"/>
    <w:rsid w:val="05DE56DE"/>
    <w:rsid w:val="05EF79DE"/>
    <w:rsid w:val="05F90419"/>
    <w:rsid w:val="06081FC2"/>
    <w:rsid w:val="064C04F8"/>
    <w:rsid w:val="067A0D04"/>
    <w:rsid w:val="068E2FCE"/>
    <w:rsid w:val="06B07422"/>
    <w:rsid w:val="06C97B07"/>
    <w:rsid w:val="070332AF"/>
    <w:rsid w:val="070C5B8C"/>
    <w:rsid w:val="07173A6F"/>
    <w:rsid w:val="071D56BB"/>
    <w:rsid w:val="07410DB8"/>
    <w:rsid w:val="07717BCB"/>
    <w:rsid w:val="079265B8"/>
    <w:rsid w:val="079724B8"/>
    <w:rsid w:val="07A4797E"/>
    <w:rsid w:val="07B33DA1"/>
    <w:rsid w:val="07C25EE3"/>
    <w:rsid w:val="07DB2932"/>
    <w:rsid w:val="08017DDF"/>
    <w:rsid w:val="081C6B1F"/>
    <w:rsid w:val="0870272B"/>
    <w:rsid w:val="0871052C"/>
    <w:rsid w:val="08A073CE"/>
    <w:rsid w:val="08BD6632"/>
    <w:rsid w:val="08E163AA"/>
    <w:rsid w:val="08F475C4"/>
    <w:rsid w:val="090E4678"/>
    <w:rsid w:val="09223BDF"/>
    <w:rsid w:val="09274797"/>
    <w:rsid w:val="094602D0"/>
    <w:rsid w:val="095F1405"/>
    <w:rsid w:val="096C322E"/>
    <w:rsid w:val="09AB61F4"/>
    <w:rsid w:val="09BC4DF4"/>
    <w:rsid w:val="09CA7E3E"/>
    <w:rsid w:val="09EC0230"/>
    <w:rsid w:val="09F909D7"/>
    <w:rsid w:val="09F96C7D"/>
    <w:rsid w:val="0A133C01"/>
    <w:rsid w:val="0A155AEE"/>
    <w:rsid w:val="0A1D7FBD"/>
    <w:rsid w:val="0A2E1D1D"/>
    <w:rsid w:val="0AC402B6"/>
    <w:rsid w:val="0B006D47"/>
    <w:rsid w:val="0B0C0E20"/>
    <w:rsid w:val="0B623651"/>
    <w:rsid w:val="0B87487B"/>
    <w:rsid w:val="0BF66816"/>
    <w:rsid w:val="0BFB0BCB"/>
    <w:rsid w:val="0C1B3F07"/>
    <w:rsid w:val="0C7D6D6C"/>
    <w:rsid w:val="0C814DCD"/>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64445"/>
    <w:rsid w:val="0EAA5D4E"/>
    <w:rsid w:val="0EEB6056"/>
    <w:rsid w:val="0EFD4000"/>
    <w:rsid w:val="0F1611F1"/>
    <w:rsid w:val="0F265206"/>
    <w:rsid w:val="0F2856BE"/>
    <w:rsid w:val="0F7455B4"/>
    <w:rsid w:val="0F9619D4"/>
    <w:rsid w:val="0F9C0A77"/>
    <w:rsid w:val="0FC609F3"/>
    <w:rsid w:val="103861BE"/>
    <w:rsid w:val="10484DFE"/>
    <w:rsid w:val="106614A1"/>
    <w:rsid w:val="1089445F"/>
    <w:rsid w:val="10D6493B"/>
    <w:rsid w:val="10F05345"/>
    <w:rsid w:val="111446E3"/>
    <w:rsid w:val="113B1C0C"/>
    <w:rsid w:val="1191016A"/>
    <w:rsid w:val="11995EC3"/>
    <w:rsid w:val="11AF06E1"/>
    <w:rsid w:val="11C218A5"/>
    <w:rsid w:val="11D41E16"/>
    <w:rsid w:val="11E06AF2"/>
    <w:rsid w:val="11F200D9"/>
    <w:rsid w:val="12140B44"/>
    <w:rsid w:val="123020E5"/>
    <w:rsid w:val="125127A7"/>
    <w:rsid w:val="125562F9"/>
    <w:rsid w:val="12F27ABD"/>
    <w:rsid w:val="130F32A6"/>
    <w:rsid w:val="1318005C"/>
    <w:rsid w:val="1346403B"/>
    <w:rsid w:val="136C297F"/>
    <w:rsid w:val="1380199B"/>
    <w:rsid w:val="138832C0"/>
    <w:rsid w:val="139C70BD"/>
    <w:rsid w:val="139D6A6E"/>
    <w:rsid w:val="13A837AA"/>
    <w:rsid w:val="13BE1BF5"/>
    <w:rsid w:val="13DE1E9F"/>
    <w:rsid w:val="13EB01A5"/>
    <w:rsid w:val="140B4AAA"/>
    <w:rsid w:val="146F3F04"/>
    <w:rsid w:val="14902CDE"/>
    <w:rsid w:val="14AD1CC9"/>
    <w:rsid w:val="14CC3097"/>
    <w:rsid w:val="15441F95"/>
    <w:rsid w:val="15562250"/>
    <w:rsid w:val="156B6FF0"/>
    <w:rsid w:val="15760107"/>
    <w:rsid w:val="15941049"/>
    <w:rsid w:val="15944091"/>
    <w:rsid w:val="15965061"/>
    <w:rsid w:val="15C04CD1"/>
    <w:rsid w:val="15C83FDC"/>
    <w:rsid w:val="15DD4643"/>
    <w:rsid w:val="162048CA"/>
    <w:rsid w:val="16503E01"/>
    <w:rsid w:val="165528D8"/>
    <w:rsid w:val="165F6B34"/>
    <w:rsid w:val="16995E37"/>
    <w:rsid w:val="16A86D68"/>
    <w:rsid w:val="16C97346"/>
    <w:rsid w:val="16CA273C"/>
    <w:rsid w:val="16D73510"/>
    <w:rsid w:val="16FE3947"/>
    <w:rsid w:val="1703535A"/>
    <w:rsid w:val="171348F8"/>
    <w:rsid w:val="171522DC"/>
    <w:rsid w:val="17666F98"/>
    <w:rsid w:val="177259D8"/>
    <w:rsid w:val="17B079CF"/>
    <w:rsid w:val="17CD6067"/>
    <w:rsid w:val="182714AF"/>
    <w:rsid w:val="183C46C6"/>
    <w:rsid w:val="185F6743"/>
    <w:rsid w:val="18762173"/>
    <w:rsid w:val="18A92F77"/>
    <w:rsid w:val="18B92B6D"/>
    <w:rsid w:val="18BB4412"/>
    <w:rsid w:val="18D746B5"/>
    <w:rsid w:val="193C5A11"/>
    <w:rsid w:val="194A2CAF"/>
    <w:rsid w:val="196A0FB4"/>
    <w:rsid w:val="19785AED"/>
    <w:rsid w:val="197A0DA0"/>
    <w:rsid w:val="19F1590B"/>
    <w:rsid w:val="19FC5172"/>
    <w:rsid w:val="1A0E71DA"/>
    <w:rsid w:val="1A621658"/>
    <w:rsid w:val="1AF03522"/>
    <w:rsid w:val="1AF51BBE"/>
    <w:rsid w:val="1B07676B"/>
    <w:rsid w:val="1B3640C9"/>
    <w:rsid w:val="1B384EC8"/>
    <w:rsid w:val="1B46547E"/>
    <w:rsid w:val="1BB21980"/>
    <w:rsid w:val="1BBB6A09"/>
    <w:rsid w:val="1BE45683"/>
    <w:rsid w:val="1BEF09D3"/>
    <w:rsid w:val="1BF517E2"/>
    <w:rsid w:val="1BFC1D3D"/>
    <w:rsid w:val="1BFF07D2"/>
    <w:rsid w:val="1C1B7270"/>
    <w:rsid w:val="1C227BC7"/>
    <w:rsid w:val="1C367F55"/>
    <w:rsid w:val="1C3B55B4"/>
    <w:rsid w:val="1C77023B"/>
    <w:rsid w:val="1C7B7046"/>
    <w:rsid w:val="1CAE658B"/>
    <w:rsid w:val="1CB531E3"/>
    <w:rsid w:val="1CC738F0"/>
    <w:rsid w:val="1D5A4B4C"/>
    <w:rsid w:val="1DA55DE8"/>
    <w:rsid w:val="1DFC54FF"/>
    <w:rsid w:val="1E0F6013"/>
    <w:rsid w:val="1E373452"/>
    <w:rsid w:val="1E4A0038"/>
    <w:rsid w:val="1E8B211B"/>
    <w:rsid w:val="1E917DAA"/>
    <w:rsid w:val="1EAC6FC0"/>
    <w:rsid w:val="1EC01569"/>
    <w:rsid w:val="1EDF11CD"/>
    <w:rsid w:val="1EE01851"/>
    <w:rsid w:val="1F4C5F8E"/>
    <w:rsid w:val="1F4C6A60"/>
    <w:rsid w:val="1F5F45F6"/>
    <w:rsid w:val="1F6E44D2"/>
    <w:rsid w:val="1F9D0803"/>
    <w:rsid w:val="1FD44AF3"/>
    <w:rsid w:val="1FE44339"/>
    <w:rsid w:val="1FF23782"/>
    <w:rsid w:val="1FF2404C"/>
    <w:rsid w:val="20162717"/>
    <w:rsid w:val="20581546"/>
    <w:rsid w:val="20583DCF"/>
    <w:rsid w:val="2075496C"/>
    <w:rsid w:val="20A124BD"/>
    <w:rsid w:val="20E92668"/>
    <w:rsid w:val="20EA64A4"/>
    <w:rsid w:val="20FC7DFE"/>
    <w:rsid w:val="21194890"/>
    <w:rsid w:val="2122760F"/>
    <w:rsid w:val="21884239"/>
    <w:rsid w:val="218A3E1B"/>
    <w:rsid w:val="21A007BF"/>
    <w:rsid w:val="21E12D84"/>
    <w:rsid w:val="21E51176"/>
    <w:rsid w:val="224937CC"/>
    <w:rsid w:val="22615C33"/>
    <w:rsid w:val="22BF2D49"/>
    <w:rsid w:val="22E4104D"/>
    <w:rsid w:val="22F330F9"/>
    <w:rsid w:val="23127A43"/>
    <w:rsid w:val="23153797"/>
    <w:rsid w:val="231F5991"/>
    <w:rsid w:val="231F6E49"/>
    <w:rsid w:val="23445BB6"/>
    <w:rsid w:val="2349616C"/>
    <w:rsid w:val="235C7A0D"/>
    <w:rsid w:val="236F6297"/>
    <w:rsid w:val="238D6B2D"/>
    <w:rsid w:val="23953D1A"/>
    <w:rsid w:val="23E67390"/>
    <w:rsid w:val="23EB62F0"/>
    <w:rsid w:val="24053E71"/>
    <w:rsid w:val="2428404E"/>
    <w:rsid w:val="24585BD5"/>
    <w:rsid w:val="246048C0"/>
    <w:rsid w:val="24EE11EF"/>
    <w:rsid w:val="24F01C1E"/>
    <w:rsid w:val="25054AF5"/>
    <w:rsid w:val="252E69F7"/>
    <w:rsid w:val="257C203E"/>
    <w:rsid w:val="258C074F"/>
    <w:rsid w:val="25EE2635"/>
    <w:rsid w:val="25F0208A"/>
    <w:rsid w:val="25FD3FF1"/>
    <w:rsid w:val="26417780"/>
    <w:rsid w:val="268417EF"/>
    <w:rsid w:val="268C5E25"/>
    <w:rsid w:val="26A541E9"/>
    <w:rsid w:val="26CE5DD7"/>
    <w:rsid w:val="270D5649"/>
    <w:rsid w:val="2714504D"/>
    <w:rsid w:val="27280F12"/>
    <w:rsid w:val="2737614D"/>
    <w:rsid w:val="277350CB"/>
    <w:rsid w:val="27805EFB"/>
    <w:rsid w:val="27DF258E"/>
    <w:rsid w:val="28071DA7"/>
    <w:rsid w:val="28360677"/>
    <w:rsid w:val="285744AF"/>
    <w:rsid w:val="28801DAF"/>
    <w:rsid w:val="28A8449C"/>
    <w:rsid w:val="28AF720C"/>
    <w:rsid w:val="28C248C5"/>
    <w:rsid w:val="29085CE3"/>
    <w:rsid w:val="291875D1"/>
    <w:rsid w:val="295236BE"/>
    <w:rsid w:val="295E5289"/>
    <w:rsid w:val="29707129"/>
    <w:rsid w:val="29984EC1"/>
    <w:rsid w:val="29C244A8"/>
    <w:rsid w:val="29D821A5"/>
    <w:rsid w:val="29E62C14"/>
    <w:rsid w:val="2A716B8F"/>
    <w:rsid w:val="2AE44AA2"/>
    <w:rsid w:val="2B113DE4"/>
    <w:rsid w:val="2B384040"/>
    <w:rsid w:val="2B5749D6"/>
    <w:rsid w:val="2B9E3DC9"/>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425430"/>
    <w:rsid w:val="2D47158B"/>
    <w:rsid w:val="2D78124C"/>
    <w:rsid w:val="2D922C94"/>
    <w:rsid w:val="2DC115AC"/>
    <w:rsid w:val="2DDB6FEC"/>
    <w:rsid w:val="2E04559A"/>
    <w:rsid w:val="2E12779E"/>
    <w:rsid w:val="2E251A45"/>
    <w:rsid w:val="2E4076B1"/>
    <w:rsid w:val="2E4B2579"/>
    <w:rsid w:val="2ECD1C57"/>
    <w:rsid w:val="2ECE01E6"/>
    <w:rsid w:val="2F825F9E"/>
    <w:rsid w:val="2FC43E60"/>
    <w:rsid w:val="2FD24B0B"/>
    <w:rsid w:val="30066B4C"/>
    <w:rsid w:val="303F4E40"/>
    <w:rsid w:val="303F6D0C"/>
    <w:rsid w:val="30750BB0"/>
    <w:rsid w:val="30B907BF"/>
    <w:rsid w:val="30B9490A"/>
    <w:rsid w:val="30EF5607"/>
    <w:rsid w:val="31017925"/>
    <w:rsid w:val="313A005B"/>
    <w:rsid w:val="3159016F"/>
    <w:rsid w:val="31655D79"/>
    <w:rsid w:val="319054FC"/>
    <w:rsid w:val="31A06A8B"/>
    <w:rsid w:val="31B203FE"/>
    <w:rsid w:val="31CC17DD"/>
    <w:rsid w:val="31F97FD8"/>
    <w:rsid w:val="32016C00"/>
    <w:rsid w:val="320B5870"/>
    <w:rsid w:val="32440235"/>
    <w:rsid w:val="3261333F"/>
    <w:rsid w:val="32835E71"/>
    <w:rsid w:val="32D46C27"/>
    <w:rsid w:val="32DE3785"/>
    <w:rsid w:val="32EE21B3"/>
    <w:rsid w:val="33092E4B"/>
    <w:rsid w:val="330F23DF"/>
    <w:rsid w:val="334A3DA1"/>
    <w:rsid w:val="33610ADB"/>
    <w:rsid w:val="33774A72"/>
    <w:rsid w:val="33B12035"/>
    <w:rsid w:val="33B63C32"/>
    <w:rsid w:val="33BA3EA4"/>
    <w:rsid w:val="33BC1FDF"/>
    <w:rsid w:val="33FD5451"/>
    <w:rsid w:val="34131012"/>
    <w:rsid w:val="34171487"/>
    <w:rsid w:val="342E2B39"/>
    <w:rsid w:val="343C4A89"/>
    <w:rsid w:val="343D7BFD"/>
    <w:rsid w:val="34460FFB"/>
    <w:rsid w:val="349614CB"/>
    <w:rsid w:val="34B833F0"/>
    <w:rsid w:val="34C51938"/>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9345B2"/>
    <w:rsid w:val="36C16728"/>
    <w:rsid w:val="36C57B9D"/>
    <w:rsid w:val="370246D3"/>
    <w:rsid w:val="370E06BA"/>
    <w:rsid w:val="37557342"/>
    <w:rsid w:val="37825166"/>
    <w:rsid w:val="37865704"/>
    <w:rsid w:val="37AA374C"/>
    <w:rsid w:val="38024E33"/>
    <w:rsid w:val="38076476"/>
    <w:rsid w:val="380C2DC6"/>
    <w:rsid w:val="381146C9"/>
    <w:rsid w:val="383F1630"/>
    <w:rsid w:val="3842120B"/>
    <w:rsid w:val="38D12AAE"/>
    <w:rsid w:val="38E878ED"/>
    <w:rsid w:val="38EA74FD"/>
    <w:rsid w:val="391E51DB"/>
    <w:rsid w:val="39786BF2"/>
    <w:rsid w:val="39B73512"/>
    <w:rsid w:val="39BA7F61"/>
    <w:rsid w:val="39E214EC"/>
    <w:rsid w:val="3A04319F"/>
    <w:rsid w:val="3A270FB8"/>
    <w:rsid w:val="3A283C9D"/>
    <w:rsid w:val="3A355AA0"/>
    <w:rsid w:val="3A5F78FB"/>
    <w:rsid w:val="3A875EF9"/>
    <w:rsid w:val="3A934AF8"/>
    <w:rsid w:val="3A9A5DA6"/>
    <w:rsid w:val="3AB14EB1"/>
    <w:rsid w:val="3AEE18AA"/>
    <w:rsid w:val="3B032819"/>
    <w:rsid w:val="3B0A2777"/>
    <w:rsid w:val="3B4548DF"/>
    <w:rsid w:val="3BE23ED4"/>
    <w:rsid w:val="3C17127B"/>
    <w:rsid w:val="3C197B04"/>
    <w:rsid w:val="3C28504A"/>
    <w:rsid w:val="3C5C0E29"/>
    <w:rsid w:val="3C8F53AF"/>
    <w:rsid w:val="3CA9417D"/>
    <w:rsid w:val="3CDC6249"/>
    <w:rsid w:val="3CDE4C67"/>
    <w:rsid w:val="3D05175A"/>
    <w:rsid w:val="3D143897"/>
    <w:rsid w:val="3D210766"/>
    <w:rsid w:val="3D2A11F8"/>
    <w:rsid w:val="3D3F1B8E"/>
    <w:rsid w:val="3D47386D"/>
    <w:rsid w:val="3D624906"/>
    <w:rsid w:val="3D81154C"/>
    <w:rsid w:val="3D817D30"/>
    <w:rsid w:val="3D835237"/>
    <w:rsid w:val="3D870E3E"/>
    <w:rsid w:val="3D967682"/>
    <w:rsid w:val="3DA2491D"/>
    <w:rsid w:val="3DA37453"/>
    <w:rsid w:val="3DAD4E44"/>
    <w:rsid w:val="3E357C4C"/>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A25FF6"/>
    <w:rsid w:val="413D7494"/>
    <w:rsid w:val="4145515D"/>
    <w:rsid w:val="416500CC"/>
    <w:rsid w:val="416D4BE4"/>
    <w:rsid w:val="41843588"/>
    <w:rsid w:val="418E3FF7"/>
    <w:rsid w:val="41AD06CE"/>
    <w:rsid w:val="41BC6356"/>
    <w:rsid w:val="41C8325D"/>
    <w:rsid w:val="41F406CA"/>
    <w:rsid w:val="41F7672F"/>
    <w:rsid w:val="42054356"/>
    <w:rsid w:val="42267DD7"/>
    <w:rsid w:val="42663652"/>
    <w:rsid w:val="426A54A3"/>
    <w:rsid w:val="42C4415D"/>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E7814"/>
    <w:rsid w:val="449A2059"/>
    <w:rsid w:val="44B0658B"/>
    <w:rsid w:val="44CD5A3F"/>
    <w:rsid w:val="44D516EE"/>
    <w:rsid w:val="453F5F92"/>
    <w:rsid w:val="455F0E66"/>
    <w:rsid w:val="45626C4F"/>
    <w:rsid w:val="456A6E0F"/>
    <w:rsid w:val="457A599C"/>
    <w:rsid w:val="45BB5814"/>
    <w:rsid w:val="45DA0E86"/>
    <w:rsid w:val="45DE6ACE"/>
    <w:rsid w:val="4610765D"/>
    <w:rsid w:val="461B598C"/>
    <w:rsid w:val="461D6E7A"/>
    <w:rsid w:val="46240420"/>
    <w:rsid w:val="462F48A7"/>
    <w:rsid w:val="46540F39"/>
    <w:rsid w:val="467956F8"/>
    <w:rsid w:val="46A05F81"/>
    <w:rsid w:val="46D9057E"/>
    <w:rsid w:val="46FB198D"/>
    <w:rsid w:val="4706116E"/>
    <w:rsid w:val="473113E0"/>
    <w:rsid w:val="47456100"/>
    <w:rsid w:val="477A6F6B"/>
    <w:rsid w:val="478B347D"/>
    <w:rsid w:val="480E0A81"/>
    <w:rsid w:val="48333627"/>
    <w:rsid w:val="48490DA6"/>
    <w:rsid w:val="485E4D7E"/>
    <w:rsid w:val="4886384B"/>
    <w:rsid w:val="48C418C2"/>
    <w:rsid w:val="48CB4307"/>
    <w:rsid w:val="48DD3095"/>
    <w:rsid w:val="49107D77"/>
    <w:rsid w:val="494E1EB4"/>
    <w:rsid w:val="496E6638"/>
    <w:rsid w:val="49744E2A"/>
    <w:rsid w:val="497965F4"/>
    <w:rsid w:val="497C2F4B"/>
    <w:rsid w:val="49BB065D"/>
    <w:rsid w:val="49FC189B"/>
    <w:rsid w:val="4A0369C7"/>
    <w:rsid w:val="4A3261E7"/>
    <w:rsid w:val="4A6A5847"/>
    <w:rsid w:val="4AA3589F"/>
    <w:rsid w:val="4AD44E51"/>
    <w:rsid w:val="4ADE2AF8"/>
    <w:rsid w:val="4AEC78E8"/>
    <w:rsid w:val="4AFB32C5"/>
    <w:rsid w:val="4B7A290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D1C5ED8"/>
    <w:rsid w:val="4D20478F"/>
    <w:rsid w:val="4D624D7C"/>
    <w:rsid w:val="4DA613A2"/>
    <w:rsid w:val="4DA85876"/>
    <w:rsid w:val="4DDE6C92"/>
    <w:rsid w:val="4DF11888"/>
    <w:rsid w:val="4DF6643F"/>
    <w:rsid w:val="4DFF215A"/>
    <w:rsid w:val="4E565EA6"/>
    <w:rsid w:val="4E764E55"/>
    <w:rsid w:val="4E990636"/>
    <w:rsid w:val="4EC2446C"/>
    <w:rsid w:val="4F013597"/>
    <w:rsid w:val="4F105125"/>
    <w:rsid w:val="4F37744A"/>
    <w:rsid w:val="4F3B42D5"/>
    <w:rsid w:val="4F403077"/>
    <w:rsid w:val="4FAB4D2C"/>
    <w:rsid w:val="4FBA1889"/>
    <w:rsid w:val="4FDA224F"/>
    <w:rsid w:val="4FED2DDF"/>
    <w:rsid w:val="4FEF7AEE"/>
    <w:rsid w:val="50095726"/>
    <w:rsid w:val="508A1C09"/>
    <w:rsid w:val="50A00E0A"/>
    <w:rsid w:val="50BB08FC"/>
    <w:rsid w:val="50C22D60"/>
    <w:rsid w:val="512F3500"/>
    <w:rsid w:val="513348AF"/>
    <w:rsid w:val="513C653B"/>
    <w:rsid w:val="513D4B79"/>
    <w:rsid w:val="51433690"/>
    <w:rsid w:val="51B2563A"/>
    <w:rsid w:val="51C42A53"/>
    <w:rsid w:val="51D46736"/>
    <w:rsid w:val="521B4666"/>
    <w:rsid w:val="52254821"/>
    <w:rsid w:val="52735112"/>
    <w:rsid w:val="52754561"/>
    <w:rsid w:val="528D06DC"/>
    <w:rsid w:val="52D617C8"/>
    <w:rsid w:val="52FE0DB8"/>
    <w:rsid w:val="53161B10"/>
    <w:rsid w:val="53373072"/>
    <w:rsid w:val="53695580"/>
    <w:rsid w:val="539D5520"/>
    <w:rsid w:val="53B350FB"/>
    <w:rsid w:val="53D55772"/>
    <w:rsid w:val="53D65619"/>
    <w:rsid w:val="53D70411"/>
    <w:rsid w:val="540E5ECC"/>
    <w:rsid w:val="546F44C9"/>
    <w:rsid w:val="5479497B"/>
    <w:rsid w:val="54932D05"/>
    <w:rsid w:val="54F9336F"/>
    <w:rsid w:val="550355BB"/>
    <w:rsid w:val="552827DB"/>
    <w:rsid w:val="555E070E"/>
    <w:rsid w:val="557D324F"/>
    <w:rsid w:val="557D6927"/>
    <w:rsid w:val="55964EBA"/>
    <w:rsid w:val="55AE181F"/>
    <w:rsid w:val="55E0595B"/>
    <w:rsid w:val="56010107"/>
    <w:rsid w:val="560B0A66"/>
    <w:rsid w:val="561E3D77"/>
    <w:rsid w:val="56575DAF"/>
    <w:rsid w:val="569620E6"/>
    <w:rsid w:val="569F1D2D"/>
    <w:rsid w:val="56A54DB1"/>
    <w:rsid w:val="56AD5142"/>
    <w:rsid w:val="56DE5F0C"/>
    <w:rsid w:val="56E35BB8"/>
    <w:rsid w:val="56E81E5B"/>
    <w:rsid w:val="56F9628E"/>
    <w:rsid w:val="56FA5717"/>
    <w:rsid w:val="57365F3B"/>
    <w:rsid w:val="57586B75"/>
    <w:rsid w:val="57C71611"/>
    <w:rsid w:val="57D25B41"/>
    <w:rsid w:val="58240A08"/>
    <w:rsid w:val="583F18BE"/>
    <w:rsid w:val="58435AD6"/>
    <w:rsid w:val="58621E13"/>
    <w:rsid w:val="58AA7C16"/>
    <w:rsid w:val="58B227FB"/>
    <w:rsid w:val="58B40BCA"/>
    <w:rsid w:val="59577238"/>
    <w:rsid w:val="595D1F94"/>
    <w:rsid w:val="59687C50"/>
    <w:rsid w:val="596A54EC"/>
    <w:rsid w:val="5979268D"/>
    <w:rsid w:val="59A230C3"/>
    <w:rsid w:val="59A31549"/>
    <w:rsid w:val="59B00B61"/>
    <w:rsid w:val="59CB6E88"/>
    <w:rsid w:val="59D605BE"/>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3404F6"/>
    <w:rsid w:val="5C937964"/>
    <w:rsid w:val="5CB30274"/>
    <w:rsid w:val="5CD83212"/>
    <w:rsid w:val="5CEA6518"/>
    <w:rsid w:val="5D0535F0"/>
    <w:rsid w:val="5D0B2C58"/>
    <w:rsid w:val="5D1E31EF"/>
    <w:rsid w:val="5D481CEF"/>
    <w:rsid w:val="5D4A4276"/>
    <w:rsid w:val="5D4D32BD"/>
    <w:rsid w:val="5D5E0B52"/>
    <w:rsid w:val="5DA65272"/>
    <w:rsid w:val="5DD83CB9"/>
    <w:rsid w:val="5DF50184"/>
    <w:rsid w:val="5DFC6CCB"/>
    <w:rsid w:val="5E1F4DEA"/>
    <w:rsid w:val="5EA51863"/>
    <w:rsid w:val="5EE7529C"/>
    <w:rsid w:val="5EF01AB7"/>
    <w:rsid w:val="5F3B26AA"/>
    <w:rsid w:val="5F4B4BE4"/>
    <w:rsid w:val="5F625880"/>
    <w:rsid w:val="5F836630"/>
    <w:rsid w:val="5FB14CFA"/>
    <w:rsid w:val="5FBF0852"/>
    <w:rsid w:val="5FC92450"/>
    <w:rsid w:val="5FD15E6D"/>
    <w:rsid w:val="5FE8255B"/>
    <w:rsid w:val="5FFB4629"/>
    <w:rsid w:val="600A7A52"/>
    <w:rsid w:val="602077B4"/>
    <w:rsid w:val="60225B1F"/>
    <w:rsid w:val="602518FE"/>
    <w:rsid w:val="60746053"/>
    <w:rsid w:val="609B762B"/>
    <w:rsid w:val="60EA4BBC"/>
    <w:rsid w:val="611F78E2"/>
    <w:rsid w:val="617A3F41"/>
    <w:rsid w:val="61C613E2"/>
    <w:rsid w:val="61CC6C53"/>
    <w:rsid w:val="620A7A2F"/>
    <w:rsid w:val="6210299D"/>
    <w:rsid w:val="62182EC6"/>
    <w:rsid w:val="621A37C8"/>
    <w:rsid w:val="628F5278"/>
    <w:rsid w:val="62B15464"/>
    <w:rsid w:val="62CF13EC"/>
    <w:rsid w:val="62D34586"/>
    <w:rsid w:val="62F80A91"/>
    <w:rsid w:val="633B7E2D"/>
    <w:rsid w:val="637D06EB"/>
    <w:rsid w:val="63AC0D80"/>
    <w:rsid w:val="63E108E5"/>
    <w:rsid w:val="63F43FAB"/>
    <w:rsid w:val="64186569"/>
    <w:rsid w:val="64285483"/>
    <w:rsid w:val="64381A78"/>
    <w:rsid w:val="64F753A2"/>
    <w:rsid w:val="653827A3"/>
    <w:rsid w:val="654F060F"/>
    <w:rsid w:val="65585701"/>
    <w:rsid w:val="6571508C"/>
    <w:rsid w:val="65AC62AE"/>
    <w:rsid w:val="65D50F90"/>
    <w:rsid w:val="65D85914"/>
    <w:rsid w:val="65E77512"/>
    <w:rsid w:val="66056572"/>
    <w:rsid w:val="661F0A0E"/>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413FA"/>
    <w:rsid w:val="68163F31"/>
    <w:rsid w:val="68734F58"/>
    <w:rsid w:val="687C3BE0"/>
    <w:rsid w:val="687F2AF8"/>
    <w:rsid w:val="6890039C"/>
    <w:rsid w:val="68AB076E"/>
    <w:rsid w:val="68D87B66"/>
    <w:rsid w:val="68DC4D52"/>
    <w:rsid w:val="68EB6974"/>
    <w:rsid w:val="691927AE"/>
    <w:rsid w:val="691B391F"/>
    <w:rsid w:val="69617D60"/>
    <w:rsid w:val="69687412"/>
    <w:rsid w:val="696C1A28"/>
    <w:rsid w:val="69855DD9"/>
    <w:rsid w:val="699B73A8"/>
    <w:rsid w:val="69A408EB"/>
    <w:rsid w:val="69E50E08"/>
    <w:rsid w:val="69FE6806"/>
    <w:rsid w:val="6A0404A9"/>
    <w:rsid w:val="6A531FDE"/>
    <w:rsid w:val="6A6E170A"/>
    <w:rsid w:val="6A6F611E"/>
    <w:rsid w:val="6A827B75"/>
    <w:rsid w:val="6A840BC2"/>
    <w:rsid w:val="6A906CC0"/>
    <w:rsid w:val="6A9F5EAD"/>
    <w:rsid w:val="6ACD410B"/>
    <w:rsid w:val="6AE03838"/>
    <w:rsid w:val="6AFB29E5"/>
    <w:rsid w:val="6B07227F"/>
    <w:rsid w:val="6B2B7E15"/>
    <w:rsid w:val="6B457993"/>
    <w:rsid w:val="6B722496"/>
    <w:rsid w:val="6B89131A"/>
    <w:rsid w:val="6B8F7565"/>
    <w:rsid w:val="6B961A5B"/>
    <w:rsid w:val="6B985891"/>
    <w:rsid w:val="6C0617E4"/>
    <w:rsid w:val="6C141437"/>
    <w:rsid w:val="6C376E3F"/>
    <w:rsid w:val="6CAD12CC"/>
    <w:rsid w:val="6CB250F3"/>
    <w:rsid w:val="6CBF1A0D"/>
    <w:rsid w:val="6CC84898"/>
    <w:rsid w:val="6D074EAC"/>
    <w:rsid w:val="6D4B5A55"/>
    <w:rsid w:val="6D685034"/>
    <w:rsid w:val="6D71366F"/>
    <w:rsid w:val="6D734E8A"/>
    <w:rsid w:val="6D7E533B"/>
    <w:rsid w:val="6DAF296E"/>
    <w:rsid w:val="6E120D2A"/>
    <w:rsid w:val="6E3E2D07"/>
    <w:rsid w:val="6E4D6901"/>
    <w:rsid w:val="6E547C34"/>
    <w:rsid w:val="6E7F776D"/>
    <w:rsid w:val="6E9B0DD8"/>
    <w:rsid w:val="6ED22F4B"/>
    <w:rsid w:val="6EDB54F5"/>
    <w:rsid w:val="6EE46197"/>
    <w:rsid w:val="6EEA3AFD"/>
    <w:rsid w:val="6F127145"/>
    <w:rsid w:val="6F243B76"/>
    <w:rsid w:val="6F4C72F5"/>
    <w:rsid w:val="6F7C1FEF"/>
    <w:rsid w:val="6FC04EED"/>
    <w:rsid w:val="6FD54B20"/>
    <w:rsid w:val="70267678"/>
    <w:rsid w:val="704F5BB9"/>
    <w:rsid w:val="70880520"/>
    <w:rsid w:val="708F30A0"/>
    <w:rsid w:val="71570437"/>
    <w:rsid w:val="715F13CC"/>
    <w:rsid w:val="71A028DC"/>
    <w:rsid w:val="71D949C1"/>
    <w:rsid w:val="71E7354A"/>
    <w:rsid w:val="721065A7"/>
    <w:rsid w:val="72262F4F"/>
    <w:rsid w:val="72404167"/>
    <w:rsid w:val="72B02B60"/>
    <w:rsid w:val="72DC2FC4"/>
    <w:rsid w:val="73065251"/>
    <w:rsid w:val="7361339E"/>
    <w:rsid w:val="73644F8E"/>
    <w:rsid w:val="73874401"/>
    <w:rsid w:val="73986F17"/>
    <w:rsid w:val="7399254D"/>
    <w:rsid w:val="7417530B"/>
    <w:rsid w:val="741E15E9"/>
    <w:rsid w:val="74583100"/>
    <w:rsid w:val="75145C3D"/>
    <w:rsid w:val="751D0546"/>
    <w:rsid w:val="754D55BC"/>
    <w:rsid w:val="754F7F3F"/>
    <w:rsid w:val="759406CF"/>
    <w:rsid w:val="75A55391"/>
    <w:rsid w:val="75AB49AE"/>
    <w:rsid w:val="75B93BE3"/>
    <w:rsid w:val="75BE058E"/>
    <w:rsid w:val="76003B68"/>
    <w:rsid w:val="764A2175"/>
    <w:rsid w:val="76995DBC"/>
    <w:rsid w:val="769E46B1"/>
    <w:rsid w:val="76B2145C"/>
    <w:rsid w:val="76C1141F"/>
    <w:rsid w:val="76CB6B21"/>
    <w:rsid w:val="76D0411E"/>
    <w:rsid w:val="770C2128"/>
    <w:rsid w:val="77465756"/>
    <w:rsid w:val="774C41D4"/>
    <w:rsid w:val="774F1A24"/>
    <w:rsid w:val="775532E3"/>
    <w:rsid w:val="77585489"/>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D4D40"/>
    <w:rsid w:val="79000C5D"/>
    <w:rsid w:val="795700DA"/>
    <w:rsid w:val="79755ECD"/>
    <w:rsid w:val="79A664CD"/>
    <w:rsid w:val="7A5B7707"/>
    <w:rsid w:val="7A766991"/>
    <w:rsid w:val="7AB16D5F"/>
    <w:rsid w:val="7AB820B2"/>
    <w:rsid w:val="7ACC35B0"/>
    <w:rsid w:val="7ACD5553"/>
    <w:rsid w:val="7ADA7DA8"/>
    <w:rsid w:val="7AF74591"/>
    <w:rsid w:val="7B496972"/>
    <w:rsid w:val="7B4E6F79"/>
    <w:rsid w:val="7B515A8A"/>
    <w:rsid w:val="7B993AAA"/>
    <w:rsid w:val="7BB33137"/>
    <w:rsid w:val="7BCB51C4"/>
    <w:rsid w:val="7C167869"/>
    <w:rsid w:val="7C1B4A50"/>
    <w:rsid w:val="7C5C675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BA2582"/>
    <w:rsid w:val="7DC034E0"/>
    <w:rsid w:val="7DE66EE4"/>
    <w:rsid w:val="7DFD02BF"/>
    <w:rsid w:val="7E0A657E"/>
    <w:rsid w:val="7E187E7B"/>
    <w:rsid w:val="7E4F25B6"/>
    <w:rsid w:val="7E800146"/>
    <w:rsid w:val="7ECA4153"/>
    <w:rsid w:val="7ECE329C"/>
    <w:rsid w:val="7EDE1639"/>
    <w:rsid w:val="7F196AB2"/>
    <w:rsid w:val="7F556DC5"/>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4"/>
    <w:qFormat/>
    <w:uiPriority w:val="0"/>
    <w:pPr>
      <w:keepNext/>
      <w:keepLines/>
      <w:spacing w:before="260" w:after="260" w:line="413" w:lineRule="auto"/>
      <w:outlineLvl w:val="2"/>
    </w:pPr>
    <w:rPr>
      <w:b/>
      <w:bCs/>
      <w:sz w:val="32"/>
      <w:szCs w:val="32"/>
    </w:rPr>
  </w:style>
  <w:style w:type="paragraph" w:styleId="6">
    <w:name w:val="heading 4"/>
    <w:basedOn w:val="1"/>
    <w:next w:val="1"/>
    <w:link w:val="3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43"/>
    <w:qFormat/>
    <w:uiPriority w:val="0"/>
    <w:pPr>
      <w:spacing w:after="120"/>
    </w:pPr>
    <w:rPr>
      <w:szCs w:val="24"/>
    </w:rPr>
  </w:style>
  <w:style w:type="paragraph" w:styleId="13">
    <w:name w:val="Body Text Indent"/>
    <w:basedOn w:val="1"/>
    <w:link w:val="29"/>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45"/>
    <w:unhideWhenUsed/>
    <w:qFormat/>
    <w:uiPriority w:val="99"/>
    <w:rPr>
      <w:sz w:val="18"/>
      <w:szCs w:val="18"/>
    </w:rPr>
  </w:style>
  <w:style w:type="paragraph" w:styleId="17">
    <w:name w:val="footer"/>
    <w:basedOn w:val="1"/>
    <w:link w:val="27"/>
    <w:unhideWhenUsed/>
    <w:qFormat/>
    <w:uiPriority w:val="99"/>
    <w:pPr>
      <w:tabs>
        <w:tab w:val="center" w:pos="4153"/>
        <w:tab w:val="right" w:pos="8306"/>
      </w:tabs>
      <w:snapToGrid w:val="0"/>
      <w:jc w:val="left"/>
    </w:pPr>
    <w:rPr>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character" w:customStyle="1" w:styleId="27">
    <w:name w:val="页脚 Char1"/>
    <w:link w:val="17"/>
    <w:qFormat/>
    <w:uiPriority w:val="99"/>
    <w:rPr>
      <w:rFonts w:eastAsia="宋体"/>
      <w:kern w:val="2"/>
      <w:sz w:val="18"/>
      <w:szCs w:val="18"/>
    </w:rPr>
  </w:style>
  <w:style w:type="character" w:customStyle="1" w:styleId="28">
    <w:name w:val="font11"/>
    <w:basedOn w:val="25"/>
    <w:qFormat/>
    <w:uiPriority w:val="0"/>
    <w:rPr>
      <w:rFonts w:hint="eastAsia" w:ascii="宋体" w:hAnsi="宋体" w:eastAsia="宋体" w:cs="宋体"/>
      <w:color w:val="000000"/>
      <w:sz w:val="18"/>
      <w:szCs w:val="18"/>
      <w:u w:val="none"/>
    </w:rPr>
  </w:style>
  <w:style w:type="character" w:customStyle="1" w:styleId="29">
    <w:name w:val="正文文本缩进 Char1"/>
    <w:link w:val="13"/>
    <w:qFormat/>
    <w:uiPriority w:val="0"/>
    <w:rPr>
      <w:kern w:val="2"/>
      <w:sz w:val="21"/>
      <w:szCs w:val="24"/>
    </w:rPr>
  </w:style>
  <w:style w:type="character" w:customStyle="1" w:styleId="30">
    <w:name w:val="font51"/>
    <w:basedOn w:val="25"/>
    <w:qFormat/>
    <w:uiPriority w:val="0"/>
    <w:rPr>
      <w:rFonts w:hint="eastAsia" w:ascii="宋体" w:hAnsi="宋体" w:eastAsia="宋体" w:cs="宋体"/>
      <w:color w:val="000000"/>
      <w:sz w:val="18"/>
      <w:szCs w:val="18"/>
      <w:u w:val="none"/>
    </w:rPr>
  </w:style>
  <w:style w:type="character" w:customStyle="1" w:styleId="31">
    <w:name w:val="列出段落 Char"/>
    <w:link w:val="32"/>
    <w:qFormat/>
    <w:locked/>
    <w:uiPriority w:val="0"/>
    <w:rPr>
      <w:rFonts w:ascii="Calibri" w:hAnsi="Calibri" w:eastAsia="宋体" w:cs="Times New Roman"/>
      <w:kern w:val="2"/>
      <w:sz w:val="21"/>
    </w:rPr>
  </w:style>
  <w:style w:type="paragraph" w:customStyle="1" w:styleId="32">
    <w:name w:val="List Paragraph"/>
    <w:basedOn w:val="1"/>
    <w:link w:val="31"/>
    <w:qFormat/>
    <w:uiPriority w:val="0"/>
    <w:pPr>
      <w:ind w:firstLine="420" w:firstLineChars="200"/>
    </w:pPr>
    <w:rPr>
      <w:szCs w:val="20"/>
    </w:rPr>
  </w:style>
  <w:style w:type="character" w:customStyle="1" w:styleId="33">
    <w:name w:val="font01"/>
    <w:basedOn w:val="25"/>
    <w:qFormat/>
    <w:uiPriority w:val="0"/>
    <w:rPr>
      <w:rFonts w:ascii="Arial" w:hAnsi="Arial" w:cs="Arial"/>
      <w:b/>
      <w:color w:val="000000"/>
      <w:sz w:val="28"/>
      <w:szCs w:val="28"/>
      <w:u w:val="none"/>
    </w:rPr>
  </w:style>
  <w:style w:type="character" w:customStyle="1" w:styleId="34">
    <w:name w:val="标题 3 Char"/>
    <w:link w:val="5"/>
    <w:qFormat/>
    <w:uiPriority w:val="0"/>
    <w:rPr>
      <w:rFonts w:ascii="Calibri" w:hAnsi="Calibri" w:eastAsia="宋体" w:cs="Times New Roman"/>
      <w:b/>
      <w:bCs/>
      <w:kern w:val="2"/>
      <w:sz w:val="32"/>
      <w:szCs w:val="32"/>
    </w:rPr>
  </w:style>
  <w:style w:type="character" w:customStyle="1" w:styleId="35">
    <w:name w:val="标题 4 Char"/>
    <w:link w:val="6"/>
    <w:qFormat/>
    <w:uiPriority w:val="0"/>
    <w:rPr>
      <w:rFonts w:ascii="Arial" w:hAnsi="Arial" w:eastAsia="黑体"/>
      <w:b/>
      <w:sz w:val="28"/>
    </w:rPr>
  </w:style>
  <w:style w:type="character" w:customStyle="1" w:styleId="36">
    <w:name w:val="标题 6 Char"/>
    <w:link w:val="7"/>
    <w:qFormat/>
    <w:uiPriority w:val="1"/>
    <w:rPr>
      <w:rFonts w:ascii="宋体" w:hAnsi="宋体" w:eastAsia="宋体" w:cs="宋体"/>
      <w:b/>
      <w:bCs/>
      <w:sz w:val="36"/>
      <w:szCs w:val="36"/>
      <w:lang w:val="zh-CN" w:eastAsia="zh-CN" w:bidi="zh-CN"/>
    </w:rPr>
  </w:style>
  <w:style w:type="character" w:customStyle="1" w:styleId="37">
    <w:name w:val="纯文本 Char"/>
    <w:qFormat/>
    <w:uiPriority w:val="0"/>
    <w:rPr>
      <w:rFonts w:ascii="宋体" w:hAnsi="Courier New" w:eastAsia="宋体" w:cs="Courier New"/>
      <w:kern w:val="2"/>
      <w:sz w:val="21"/>
      <w:szCs w:val="21"/>
    </w:rPr>
  </w:style>
  <w:style w:type="character" w:customStyle="1" w:styleId="38">
    <w:name w:val="font21"/>
    <w:basedOn w:val="25"/>
    <w:qFormat/>
    <w:uiPriority w:val="0"/>
    <w:rPr>
      <w:rFonts w:hint="eastAsia" w:ascii="黑体" w:hAnsi="宋体" w:eastAsia="黑体" w:cs="黑体"/>
      <w:b/>
      <w:color w:val="000000"/>
      <w:sz w:val="28"/>
      <w:szCs w:val="28"/>
      <w:u w:val="none"/>
    </w:rPr>
  </w:style>
  <w:style w:type="character" w:customStyle="1" w:styleId="39">
    <w:name w:val="纯文本 Char1"/>
    <w:link w:val="15"/>
    <w:qFormat/>
    <w:uiPriority w:val="0"/>
    <w:rPr>
      <w:rFonts w:ascii="宋体" w:hAnsi="Courier New" w:eastAsia="宋体" w:cs="Courier New"/>
      <w:kern w:val="2"/>
      <w:sz w:val="21"/>
      <w:szCs w:val="21"/>
    </w:rPr>
  </w:style>
  <w:style w:type="character" w:customStyle="1" w:styleId="40">
    <w:name w:val="font41"/>
    <w:basedOn w:val="25"/>
    <w:qFormat/>
    <w:uiPriority w:val="0"/>
    <w:rPr>
      <w:rFonts w:hint="default" w:ascii="Times New Roman" w:hAnsi="Times New Roman" w:cs="Times New Roman"/>
      <w:color w:val="000000"/>
      <w:sz w:val="18"/>
      <w:szCs w:val="18"/>
      <w:u w:val="none"/>
    </w:rPr>
  </w:style>
  <w:style w:type="character" w:customStyle="1" w:styleId="41">
    <w:name w:val="正文文本缩进 Char"/>
    <w:semiHidden/>
    <w:qFormat/>
    <w:uiPriority w:val="99"/>
    <w:rPr>
      <w:rFonts w:ascii="Calibri" w:hAnsi="Calibri" w:eastAsia="宋体" w:cs="Times New Roman"/>
      <w:kern w:val="2"/>
      <w:sz w:val="21"/>
    </w:rPr>
  </w:style>
  <w:style w:type="character" w:customStyle="1" w:styleId="42">
    <w:name w:val="页脚 Char"/>
    <w:qFormat/>
    <w:uiPriority w:val="99"/>
    <w:rPr>
      <w:lang w:eastAsia="zh-CN"/>
    </w:rPr>
  </w:style>
  <w:style w:type="character" w:customStyle="1" w:styleId="43">
    <w:name w:val="正文文本 Char"/>
    <w:link w:val="12"/>
    <w:qFormat/>
    <w:uiPriority w:val="0"/>
    <w:rPr>
      <w:kern w:val="2"/>
      <w:sz w:val="21"/>
      <w:szCs w:val="24"/>
    </w:rPr>
  </w:style>
  <w:style w:type="character" w:customStyle="1" w:styleId="44">
    <w:name w:val="正文文本 Char1"/>
    <w:semiHidden/>
    <w:qFormat/>
    <w:uiPriority w:val="99"/>
    <w:rPr>
      <w:rFonts w:ascii="Calibri" w:hAnsi="Calibri" w:eastAsia="宋体" w:cs="Times New Roman"/>
      <w:kern w:val="2"/>
      <w:sz w:val="21"/>
    </w:rPr>
  </w:style>
  <w:style w:type="character" w:customStyle="1" w:styleId="45">
    <w:name w:val="批注框文本 Char"/>
    <w:link w:val="16"/>
    <w:semiHidden/>
    <w:qFormat/>
    <w:uiPriority w:val="99"/>
    <w:rPr>
      <w:rFonts w:eastAsia="宋体"/>
      <w:kern w:val="2"/>
      <w:sz w:val="18"/>
      <w:szCs w:val="18"/>
    </w:rPr>
  </w:style>
  <w:style w:type="character" w:customStyle="1" w:styleId="46">
    <w:name w:val="页眉 Char"/>
    <w:link w:val="18"/>
    <w:qFormat/>
    <w:uiPriority w:val="99"/>
    <w:rPr>
      <w:rFonts w:eastAsia="宋体"/>
      <w:kern w:val="2"/>
      <w:sz w:val="18"/>
      <w:szCs w:val="18"/>
    </w:rPr>
  </w:style>
  <w:style w:type="paragraph" w:customStyle="1" w:styleId="47">
    <w:name w:val="CM27"/>
    <w:basedOn w:val="48"/>
    <w:next w:val="48"/>
    <w:unhideWhenUsed/>
    <w:qFormat/>
    <w:uiPriority w:val="99"/>
    <w:pPr>
      <w:spacing w:line="411" w:lineRule="atLeast"/>
    </w:pPr>
    <w:rPr>
      <w:rFonts w:hint="default"/>
    </w:rPr>
  </w:style>
  <w:style w:type="paragraph" w:customStyle="1" w:styleId="4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49">
    <w:name w:val="CM16"/>
    <w:basedOn w:val="48"/>
    <w:next w:val="48"/>
    <w:unhideWhenUsed/>
    <w:qFormat/>
    <w:uiPriority w:val="99"/>
    <w:pPr>
      <w:spacing w:line="411" w:lineRule="atLeast"/>
    </w:pPr>
    <w:rPr>
      <w:rFonts w:hint="default"/>
    </w:rPr>
  </w:style>
  <w:style w:type="paragraph" w:customStyle="1" w:styleId="50">
    <w:name w:val="CM13"/>
    <w:basedOn w:val="48"/>
    <w:next w:val="48"/>
    <w:unhideWhenUsed/>
    <w:qFormat/>
    <w:uiPriority w:val="99"/>
    <w:pPr>
      <w:spacing w:line="408" w:lineRule="atLeast"/>
    </w:pPr>
    <w:rPr>
      <w:rFonts w:hint="default"/>
    </w:rPr>
  </w:style>
  <w:style w:type="paragraph" w:customStyle="1" w:styleId="51">
    <w:name w:val="CM4"/>
    <w:basedOn w:val="48"/>
    <w:next w:val="48"/>
    <w:unhideWhenUsed/>
    <w:qFormat/>
    <w:uiPriority w:val="99"/>
    <w:pPr>
      <w:spacing w:line="411" w:lineRule="atLeast"/>
    </w:pPr>
    <w:rPr>
      <w:rFonts w:hint="default"/>
    </w:rPr>
  </w:style>
  <w:style w:type="paragraph" w:customStyle="1" w:styleId="52">
    <w:name w:val="文中正文"/>
    <w:basedOn w:val="1"/>
    <w:qFormat/>
    <w:uiPriority w:val="99"/>
    <w:pPr>
      <w:ind w:firstLine="640" w:firstLineChars="200"/>
    </w:pPr>
    <w:rPr>
      <w:rFonts w:eastAsia="方正楷体简体"/>
      <w:bCs/>
      <w:spacing w:val="20"/>
      <w:sz w:val="28"/>
      <w:szCs w:val="24"/>
    </w:rPr>
  </w:style>
  <w:style w:type="paragraph" w:customStyle="1" w:styleId="53">
    <w:name w:val="CM10"/>
    <w:basedOn w:val="48"/>
    <w:next w:val="48"/>
    <w:unhideWhenUsed/>
    <w:qFormat/>
    <w:uiPriority w:val="99"/>
    <w:pPr>
      <w:spacing w:line="408" w:lineRule="atLeast"/>
    </w:pPr>
    <w:rPr>
      <w:rFonts w:hint="default"/>
    </w:rPr>
  </w:style>
  <w:style w:type="paragraph" w:customStyle="1" w:styleId="54">
    <w:name w:val="Table Paragraph"/>
    <w:basedOn w:val="1"/>
    <w:qFormat/>
    <w:uiPriority w:val="1"/>
    <w:rPr>
      <w:rFonts w:ascii="宋体" w:hAnsi="宋体" w:cs="宋体"/>
      <w:lang w:val="zh-CN" w:bidi="zh-CN"/>
    </w:rPr>
  </w:style>
  <w:style w:type="paragraph" w:customStyle="1" w:styleId="55">
    <w:name w:val="CM3"/>
    <w:basedOn w:val="48"/>
    <w:next w:val="48"/>
    <w:unhideWhenUsed/>
    <w:qFormat/>
    <w:uiPriority w:val="99"/>
    <w:pPr>
      <w:spacing w:line="408" w:lineRule="atLeast"/>
    </w:pPr>
    <w:rPr>
      <w:rFonts w:hint="default"/>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1"/>
    <w:basedOn w:val="1"/>
    <w:qFormat/>
    <w:uiPriority w:val="0"/>
    <w:pPr>
      <w:ind w:firstLine="420" w:firstLineChars="200"/>
    </w:pPr>
  </w:style>
  <w:style w:type="paragraph" w:customStyle="1" w:styleId="58">
    <w:name w:val="p0"/>
    <w:basedOn w:val="1"/>
    <w:qFormat/>
    <w:uiPriority w:val="99"/>
    <w:pPr>
      <w:widowControl/>
      <w:jc w:val="left"/>
    </w:pPr>
    <w:rPr>
      <w:rFonts w:cs="宋体"/>
      <w:kern w:val="0"/>
      <w:szCs w:val="21"/>
    </w:rPr>
  </w:style>
  <w:style w:type="paragraph" w:customStyle="1" w:styleId="59">
    <w:name w:val="CM9"/>
    <w:basedOn w:val="48"/>
    <w:next w:val="48"/>
    <w:unhideWhenUsed/>
    <w:qFormat/>
    <w:uiPriority w:val="99"/>
    <w:pPr>
      <w:spacing w:line="408" w:lineRule="atLeast"/>
    </w:pPr>
    <w:rPr>
      <w:rFonts w:hint="default"/>
    </w:rPr>
  </w:style>
  <w:style w:type="paragraph" w:customStyle="1" w:styleId="60">
    <w:name w:val="CM8"/>
    <w:basedOn w:val="48"/>
    <w:next w:val="48"/>
    <w:unhideWhenUsed/>
    <w:qFormat/>
    <w:uiPriority w:val="99"/>
    <w:pPr>
      <w:spacing w:line="408" w:lineRule="atLeast"/>
    </w:pPr>
    <w:rPr>
      <w:rFonts w:hint="default"/>
    </w:rPr>
  </w:style>
  <w:style w:type="paragraph" w:customStyle="1" w:styleId="61">
    <w:name w:val="CM5"/>
    <w:basedOn w:val="48"/>
    <w:next w:val="48"/>
    <w:unhideWhenUsed/>
    <w:qFormat/>
    <w:uiPriority w:val="99"/>
    <w:pPr>
      <w:spacing w:line="411" w:lineRule="atLeast"/>
    </w:pPr>
    <w:rPr>
      <w:rFonts w:hint="default"/>
    </w:rPr>
  </w:style>
  <w:style w:type="paragraph" w:customStyle="1" w:styleId="62">
    <w:name w:val="CM7"/>
    <w:basedOn w:val="48"/>
    <w:next w:val="48"/>
    <w:unhideWhenUsed/>
    <w:qFormat/>
    <w:uiPriority w:val="99"/>
    <w:pPr>
      <w:spacing w:line="408" w:lineRule="atLeast"/>
    </w:pPr>
    <w:rPr>
      <w:rFonts w:hint="default"/>
    </w:rPr>
  </w:style>
  <w:style w:type="paragraph" w:customStyle="1" w:styleId="63">
    <w:name w:val="Char Char Char Char"/>
    <w:basedOn w:val="1"/>
    <w:qFormat/>
    <w:uiPriority w:val="0"/>
    <w:pPr>
      <w:widowControl/>
      <w:spacing w:after="160" w:line="240" w:lineRule="exact"/>
      <w:jc w:val="left"/>
    </w:pPr>
    <w:rPr>
      <w:szCs w:val="24"/>
    </w:rPr>
  </w:style>
  <w:style w:type="paragraph" w:customStyle="1" w:styleId="64">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大标题"/>
    <w:basedOn w:val="1"/>
    <w:qFormat/>
    <w:uiPriority w:val="99"/>
    <w:pPr>
      <w:spacing w:beforeLines="100" w:afterLines="50"/>
      <w:jc w:val="center"/>
    </w:pPr>
    <w:rPr>
      <w:rFonts w:eastAsia="方正魏碑简体"/>
      <w:bCs/>
      <w:spacing w:val="20"/>
      <w:sz w:val="72"/>
      <w:szCs w:val="24"/>
    </w:rPr>
  </w:style>
  <w:style w:type="paragraph" w:customStyle="1" w:styleId="67">
    <w:name w:val="_Style 4"/>
    <w:basedOn w:val="1"/>
    <w:qFormat/>
    <w:uiPriority w:val="34"/>
    <w:pPr>
      <w:ind w:firstLine="420" w:firstLineChars="200"/>
    </w:pPr>
  </w:style>
  <w:style w:type="paragraph" w:customStyle="1" w:styleId="68">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69">
    <w:name w:val="Body Text First Indent 2"/>
    <w:basedOn w:val="70"/>
    <w:qFormat/>
    <w:uiPriority w:val="0"/>
    <w:pPr>
      <w:ind w:firstLine="420" w:firstLineChars="200"/>
    </w:pPr>
    <w:rPr>
      <w:kern w:val="2"/>
      <w:sz w:val="21"/>
      <w:szCs w:val="24"/>
    </w:rPr>
  </w:style>
  <w:style w:type="paragraph" w:customStyle="1" w:styleId="70">
    <w:name w:val="Body Text Indent"/>
    <w:basedOn w:val="1"/>
    <w:qFormat/>
    <w:uiPriority w:val="0"/>
    <w:pPr>
      <w:spacing w:after="120" w:afterLines="0"/>
      <w:ind w:left="420" w:leftChars="200"/>
    </w:pPr>
    <w:rPr>
      <w:kern w:val="2"/>
      <w:sz w:val="21"/>
      <w:szCs w:val="24"/>
    </w:rPr>
  </w:style>
  <w:style w:type="paragraph" w:customStyle="1" w:styleId="71">
    <w:name w:val="Plain Text"/>
    <w:basedOn w:val="1"/>
    <w:qFormat/>
    <w:uiPriority w:val="0"/>
    <w:rPr>
      <w:rFonts w:ascii="宋体" w:hAnsi="Courier New" w:eastAsia="宋体" w:cs="Courier New"/>
      <w:kern w:val="2"/>
      <w:sz w:val="21"/>
      <w:szCs w:val="21"/>
      <w:lang w:val="en-US" w:eastAsia="zh-CN"/>
    </w:rPr>
  </w:style>
  <w:style w:type="paragraph" w:customStyle="1" w:styleId="72">
    <w:name w:val="纯文本 Char Char"/>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16</TotalTime>
  <ScaleCrop>false</ScaleCrop>
  <LinksUpToDate>false</LinksUpToDate>
  <CharactersWithSpaces>85087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玫瑰的玫瑰_</cp:lastModifiedBy>
  <cp:lastPrinted>2021-04-24T09:28:00Z</cp:lastPrinted>
  <dcterms:modified xsi:type="dcterms:W3CDTF">2021-04-26T03:41:48Z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C9AFA014249346A9A68535D273A9BE59</vt:lpwstr>
  </property>
</Properties>
</file>