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2"/>
          <w:szCs w:val="22"/>
          <w:highlight w:val="none"/>
        </w:rPr>
      </w:pPr>
      <w:bookmarkStart w:id="0" w:name="_GoBack"/>
      <w:bookmarkEnd w:id="0"/>
      <w:r>
        <w:rPr>
          <w:rFonts w:hint="eastAsia" w:ascii="宋体" w:hAnsi="宋体" w:cs="宋体"/>
          <w:b/>
          <w:color w:val="auto"/>
          <w:sz w:val="22"/>
          <w:szCs w:val="22"/>
          <w:highlight w:val="none"/>
        </w:rPr>
        <w:t>附表一</w:t>
      </w:r>
    </w:p>
    <w:p>
      <w:pPr>
        <w:pStyle w:val="2"/>
        <w:rPr>
          <w:rFonts w:hint="eastAsia"/>
        </w:rPr>
      </w:pP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distribute"/>
        <w:textAlignment w:val="auto"/>
        <w:rPr>
          <w:rFonts w:hint="eastAsia" w:ascii="仿宋_GB2312" w:hAnsi="仿宋_GB2312" w:eastAsia="仿宋_GB2312" w:cs="仿宋_GB2312"/>
          <w:b/>
          <w:bCs w:val="0"/>
          <w:color w:val="auto"/>
          <w:kern w:val="10"/>
          <w:sz w:val="24"/>
          <w:szCs w:val="24"/>
          <w:highlight w:val="none"/>
          <w:u w:val="none"/>
          <w:lang w:val="en-US" w:eastAsia="zh-CN"/>
        </w:rPr>
      </w:pPr>
      <w:r>
        <w:rPr>
          <w:rFonts w:hint="eastAsia" w:ascii="仿宋_GB2312" w:hAnsi="仿宋_GB2312" w:eastAsia="仿宋_GB2312" w:cs="仿宋_GB2312"/>
          <w:b/>
          <w:bCs w:val="0"/>
          <w:color w:val="auto"/>
          <w:kern w:val="10"/>
          <w:sz w:val="24"/>
          <w:szCs w:val="24"/>
          <w:highlight w:val="none"/>
          <w:u w:val="none"/>
          <w:lang w:val="en-US" w:eastAsia="zh-CN"/>
        </w:rPr>
        <w:t>利民路(大天路-聚霞路)—下穿绕城高速桥梁工程协作工程CXYH-3分段</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设备要求表</w:t>
      </w:r>
    </w:p>
    <w:tbl>
      <w:tblPr>
        <w:tblStyle w:val="1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op w:val="single" w:color="000000" w:sz="4" w:space="0"/>
              <w:left w:val="single" w:color="000000" w:sz="4" w:space="0"/>
              <w:right w:val="single" w:color="000000" w:sz="4" w:space="0"/>
              <w:tl2br w:val="nil"/>
              <w:tr2bl w:val="nil"/>
            </w:tcBorders>
            <w:noWrap w:val="0"/>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1742"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8"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挖掘机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320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i w:val="0"/>
                <w:color w:val="auto"/>
                <w:kern w:val="0"/>
                <w:sz w:val="18"/>
                <w:szCs w:val="18"/>
                <w:highlight w:val="none"/>
                <w:u w:val="none"/>
                <w:lang w:val="en-US" w:eastAsia="zh-CN" w:bidi="ar"/>
              </w:rPr>
              <w:t>3</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767"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年1月后</w:t>
            </w:r>
          </w:p>
        </w:tc>
        <w:tc>
          <w:tcPr>
            <w:tcW w:w="855"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压路机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16T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0.5</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0.5</w:t>
            </w: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both"/>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 xml:space="preserve">  3</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摊铺机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6m</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装载机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同步碎石封层车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平地机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混合料运输保温车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18T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自卸汽车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20T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旋挖机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260</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0.5</w:t>
            </w: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汽车吊</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20T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rPr>
          <w:rStyle w:val="22"/>
          <w:rFonts w:hint="eastAsia"/>
          <w:b w:val="0"/>
          <w:bCs/>
          <w:color w:val="auto"/>
          <w:sz w:val="18"/>
          <w:szCs w:val="18"/>
          <w:highlight w:val="none"/>
          <w:u w:val="none"/>
          <w:lang w:val="en-US" w:eastAsia="zh-CN" w:bidi="ar"/>
        </w:rPr>
      </w:pPr>
      <w:r>
        <w:rPr>
          <w:rStyle w:val="22"/>
          <w:rFonts w:hint="eastAsia"/>
          <w:b w:val="0"/>
          <w:bCs/>
          <w:color w:val="auto"/>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p>
      <w:pPr>
        <w:rPr>
          <w:rStyle w:val="22"/>
          <w:rFonts w:hint="eastAsia"/>
          <w:b/>
          <w:bCs/>
          <w:color w:val="auto"/>
          <w:sz w:val="22"/>
          <w:szCs w:val="22"/>
          <w:highlight w:val="none"/>
          <w:u w:val="none"/>
          <w:lang w:val="en-US" w:eastAsia="zh-CN" w:bidi="ar"/>
        </w:rPr>
      </w:pPr>
      <w:r>
        <w:rPr>
          <w:rStyle w:val="22"/>
          <w:rFonts w:hint="eastAsia"/>
          <w:b w:val="0"/>
          <w:bCs/>
          <w:color w:val="auto"/>
          <w:sz w:val="18"/>
          <w:szCs w:val="18"/>
          <w:highlight w:val="none"/>
          <w:u w:val="none"/>
          <w:lang w:val="en-US" w:eastAsia="zh-CN" w:bidi="ar"/>
        </w:rPr>
        <w:t>2、本表中的总数量为乙方中标后向甲方承诺的投入最低设备要求。</w:t>
      </w:r>
      <w:r>
        <w:rPr>
          <w:rStyle w:val="22"/>
          <w:rFonts w:hint="eastAsia"/>
          <w:b/>
          <w:bCs/>
          <w:color w:val="auto"/>
          <w:sz w:val="22"/>
          <w:szCs w:val="22"/>
          <w:highlight w:val="none"/>
          <w:u w:val="none"/>
          <w:lang w:val="en-US" w:eastAsia="zh-CN" w:bidi="ar"/>
        </w:rPr>
        <w:br w:type="page"/>
      </w:r>
    </w:p>
    <w:p>
      <w:pPr>
        <w:jc w:val="left"/>
        <w:rPr>
          <w:rStyle w:val="22"/>
          <w:rFonts w:hint="eastAsia"/>
          <w:b/>
          <w:bCs/>
          <w:color w:val="auto"/>
          <w:sz w:val="22"/>
          <w:szCs w:val="22"/>
          <w:highlight w:val="none"/>
          <w:u w:val="none"/>
          <w:lang w:val="en-US" w:eastAsia="zh-CN" w:bidi="ar"/>
        </w:rPr>
      </w:pPr>
      <w:r>
        <w:rPr>
          <w:rStyle w:val="22"/>
          <w:rFonts w:hint="eastAsia"/>
          <w:b/>
          <w:bCs/>
          <w:color w:val="auto"/>
          <w:sz w:val="22"/>
          <w:szCs w:val="22"/>
          <w:highlight w:val="none"/>
          <w:u w:val="none"/>
          <w:lang w:val="en-US" w:eastAsia="zh-CN" w:bidi="ar"/>
        </w:rPr>
        <w:t>附表二</w:t>
      </w:r>
    </w:p>
    <w:p>
      <w:pPr>
        <w:pStyle w:val="2"/>
        <w:rPr>
          <w:rFonts w:hint="eastAsia"/>
          <w:lang w:val="en-US" w:eastAsia="zh-CN"/>
        </w:rPr>
      </w:pP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distribute"/>
        <w:textAlignment w:val="auto"/>
        <w:rPr>
          <w:rFonts w:hint="eastAsia" w:ascii="仿宋_GB2312" w:hAnsi="仿宋_GB2312" w:eastAsia="仿宋_GB2312" w:cs="仿宋_GB2312"/>
          <w:b/>
          <w:bCs w:val="0"/>
          <w:color w:val="auto"/>
          <w:kern w:val="10"/>
          <w:sz w:val="24"/>
          <w:szCs w:val="24"/>
          <w:highlight w:val="none"/>
          <w:u w:val="none"/>
          <w:lang w:val="en-US" w:eastAsia="zh-CN"/>
        </w:rPr>
      </w:pPr>
      <w:r>
        <w:rPr>
          <w:rFonts w:hint="eastAsia" w:ascii="仿宋_GB2312" w:hAnsi="仿宋_GB2312" w:eastAsia="仿宋_GB2312" w:cs="仿宋_GB2312"/>
          <w:b/>
          <w:bCs w:val="0"/>
          <w:color w:val="auto"/>
          <w:kern w:val="10"/>
          <w:sz w:val="24"/>
          <w:szCs w:val="24"/>
          <w:highlight w:val="none"/>
          <w:u w:val="none"/>
          <w:lang w:val="en-US" w:eastAsia="zh-CN"/>
        </w:rPr>
        <w:t>利民路(大天路-聚霞路)—下穿绕城高速桥梁工程协作工程CXYH-3分段</w:t>
      </w:r>
    </w:p>
    <w:tbl>
      <w:tblPr>
        <w:tblStyle w:val="15"/>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仿宋_GB2312" w:hAnsi="仿宋_GB2312" w:eastAsia="仿宋_GB2312" w:cs="仿宋_GB2312"/>
                <w:b/>
                <w:bCs w:val="0"/>
                <w:color w:val="auto"/>
                <w:kern w:val="10"/>
                <w:sz w:val="28"/>
                <w:szCs w:val="28"/>
                <w:highlight w:val="none"/>
                <w:u w:val="none"/>
                <w:lang w:val="en-US" w:eastAsia="zh-CN"/>
              </w:rPr>
              <w:t>人员要求表</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协作项目负责人管理技术、质量相关工作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工程技术人员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2、如因投标人的原因(除不可抗拒因素外)更换上述主要人员，须报请招标人批准，更换人员的资质不能低于招标文件要求，自行更换主要负责人的，对投标人按每人次扣以50万元人民币违约金。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0"/>
        <w:tabs>
          <w:tab w:val="right" w:leader="dot" w:pos="8306"/>
        </w:tabs>
        <w:jc w:val="both"/>
        <w:rPr>
          <w:rFonts w:ascii="等线" w:hAnsi="等线" w:eastAsia="等线" w:cs="等线"/>
          <w:b/>
          <w:bCs/>
          <w:color w:val="auto"/>
          <w:sz w:val="44"/>
          <w:szCs w:val="44"/>
          <w:highlight w:val="none"/>
          <w:lang w:bidi="zh-CN"/>
        </w:rPr>
      </w:pPr>
    </w:p>
    <w:p>
      <w:pPr>
        <w:pStyle w:val="20"/>
        <w:tabs>
          <w:tab w:val="right" w:leader="dot" w:pos="8306"/>
        </w:tabs>
        <w:jc w:val="both"/>
        <w:rPr>
          <w:rFonts w:ascii="等线" w:hAnsi="等线" w:eastAsia="等线" w:cs="等线"/>
          <w:b/>
          <w:bCs/>
          <w:color w:val="auto"/>
          <w:sz w:val="44"/>
          <w:szCs w:val="44"/>
          <w:highlight w:val="none"/>
          <w:lang w:bidi="zh-CN"/>
        </w:rPr>
      </w:pPr>
    </w:p>
    <w:p>
      <w:pPr>
        <w:rPr>
          <w:rStyle w:val="22"/>
          <w:rFonts w:hint="eastAsia"/>
          <w:b w:val="0"/>
          <w:bCs/>
          <w:color w:val="auto"/>
          <w:sz w:val="16"/>
          <w:szCs w:val="16"/>
          <w:highlight w:val="none"/>
          <w:u w:val="none"/>
          <w:lang w:val="en-US" w:eastAsia="zh-CN" w:bidi="ar"/>
        </w:rPr>
      </w:pPr>
      <w:r>
        <w:rPr>
          <w:rFonts w:hint="eastAsia" w:ascii="等线" w:hAnsi="等线" w:eastAsia="等线" w:cs="等线"/>
          <w:b/>
          <w:bCs/>
          <w:color w:val="auto"/>
          <w:sz w:val="44"/>
          <w:szCs w:val="44"/>
          <w:highlight w:val="none"/>
          <w:lang w:bidi="zh-CN"/>
        </w:rPr>
        <w:br w:type="page"/>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7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E3xKx0HAgAABwQAAA4AAAAAAAAAAQAgAAAAHgEAAGRycy9l&#10;Mm9Eb2MueG1sUEsFBgAAAAAGAAYAWQEAAJcFAAAAAA==&#10;">
              <v:fill on="f" focussize="0,0"/>
              <v:stroke on="f"/>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040B"/>
    <w:rsid w:val="00343D48"/>
    <w:rsid w:val="009B12C4"/>
    <w:rsid w:val="00BD6B08"/>
    <w:rsid w:val="01682C94"/>
    <w:rsid w:val="01F62437"/>
    <w:rsid w:val="029F0BDF"/>
    <w:rsid w:val="02F36BB9"/>
    <w:rsid w:val="03724511"/>
    <w:rsid w:val="039A66B9"/>
    <w:rsid w:val="044153DC"/>
    <w:rsid w:val="050B0EC8"/>
    <w:rsid w:val="05BC6E66"/>
    <w:rsid w:val="06972D26"/>
    <w:rsid w:val="07F660B0"/>
    <w:rsid w:val="08324929"/>
    <w:rsid w:val="08891F7D"/>
    <w:rsid w:val="0913688A"/>
    <w:rsid w:val="09455B44"/>
    <w:rsid w:val="09AD4AA6"/>
    <w:rsid w:val="0A5033EA"/>
    <w:rsid w:val="0A5A4B79"/>
    <w:rsid w:val="0B0F28A9"/>
    <w:rsid w:val="0B5455A6"/>
    <w:rsid w:val="0B753032"/>
    <w:rsid w:val="0B991271"/>
    <w:rsid w:val="0BD27243"/>
    <w:rsid w:val="0CCF7D76"/>
    <w:rsid w:val="0E2F2B48"/>
    <w:rsid w:val="0E7D493C"/>
    <w:rsid w:val="0F581439"/>
    <w:rsid w:val="0F6860EC"/>
    <w:rsid w:val="0FCE6B99"/>
    <w:rsid w:val="100474B1"/>
    <w:rsid w:val="10144394"/>
    <w:rsid w:val="104E4D2B"/>
    <w:rsid w:val="109E5293"/>
    <w:rsid w:val="12F60699"/>
    <w:rsid w:val="15A33A75"/>
    <w:rsid w:val="15A80B94"/>
    <w:rsid w:val="16370C2C"/>
    <w:rsid w:val="18C95BFE"/>
    <w:rsid w:val="195A0C14"/>
    <w:rsid w:val="1A5C76BA"/>
    <w:rsid w:val="1ADC068B"/>
    <w:rsid w:val="1B7342A9"/>
    <w:rsid w:val="1BA112B9"/>
    <w:rsid w:val="1CCB016B"/>
    <w:rsid w:val="1DF37DFA"/>
    <w:rsid w:val="1E9B719D"/>
    <w:rsid w:val="1F291F3C"/>
    <w:rsid w:val="1F3A4319"/>
    <w:rsid w:val="1F6B4BFB"/>
    <w:rsid w:val="1F9306F4"/>
    <w:rsid w:val="20A17C13"/>
    <w:rsid w:val="20C53399"/>
    <w:rsid w:val="21BE14DE"/>
    <w:rsid w:val="223D66AF"/>
    <w:rsid w:val="22900340"/>
    <w:rsid w:val="236E2906"/>
    <w:rsid w:val="23A167F7"/>
    <w:rsid w:val="23AA10B0"/>
    <w:rsid w:val="241D5966"/>
    <w:rsid w:val="24BB1332"/>
    <w:rsid w:val="24F94B95"/>
    <w:rsid w:val="25073037"/>
    <w:rsid w:val="25FF4FDC"/>
    <w:rsid w:val="26105A24"/>
    <w:rsid w:val="26CC3F25"/>
    <w:rsid w:val="27C8356C"/>
    <w:rsid w:val="289F5324"/>
    <w:rsid w:val="2A195ECB"/>
    <w:rsid w:val="2B8C545E"/>
    <w:rsid w:val="2C824972"/>
    <w:rsid w:val="2E837660"/>
    <w:rsid w:val="2E9D083E"/>
    <w:rsid w:val="2EAA77DA"/>
    <w:rsid w:val="2EBC3BCD"/>
    <w:rsid w:val="2EDA06D1"/>
    <w:rsid w:val="2EE66DA1"/>
    <w:rsid w:val="30CE2A07"/>
    <w:rsid w:val="31B6771F"/>
    <w:rsid w:val="31F27638"/>
    <w:rsid w:val="325C03ED"/>
    <w:rsid w:val="32741064"/>
    <w:rsid w:val="32DB03AE"/>
    <w:rsid w:val="33545079"/>
    <w:rsid w:val="339A2073"/>
    <w:rsid w:val="34311BB5"/>
    <w:rsid w:val="34436B87"/>
    <w:rsid w:val="34607A3F"/>
    <w:rsid w:val="348B44F6"/>
    <w:rsid w:val="35553321"/>
    <w:rsid w:val="35921A02"/>
    <w:rsid w:val="35A63EE7"/>
    <w:rsid w:val="36452C44"/>
    <w:rsid w:val="37D5352F"/>
    <w:rsid w:val="38E25BE4"/>
    <w:rsid w:val="393D02C4"/>
    <w:rsid w:val="395C1C4A"/>
    <w:rsid w:val="3A180D3E"/>
    <w:rsid w:val="3A8E7911"/>
    <w:rsid w:val="3B7F1D6B"/>
    <w:rsid w:val="3C4E25B5"/>
    <w:rsid w:val="3C5C5D88"/>
    <w:rsid w:val="3CA06F6B"/>
    <w:rsid w:val="3E1C2E52"/>
    <w:rsid w:val="3E320AB0"/>
    <w:rsid w:val="3E36438D"/>
    <w:rsid w:val="3F026478"/>
    <w:rsid w:val="401B4839"/>
    <w:rsid w:val="405D5CCE"/>
    <w:rsid w:val="40834CCE"/>
    <w:rsid w:val="415D7AEB"/>
    <w:rsid w:val="416309A2"/>
    <w:rsid w:val="4205452B"/>
    <w:rsid w:val="422873DB"/>
    <w:rsid w:val="4304594A"/>
    <w:rsid w:val="43FE1B06"/>
    <w:rsid w:val="44C71CED"/>
    <w:rsid w:val="45E511AF"/>
    <w:rsid w:val="46113505"/>
    <w:rsid w:val="46C81B47"/>
    <w:rsid w:val="46F456A7"/>
    <w:rsid w:val="46FF3BA9"/>
    <w:rsid w:val="47433D54"/>
    <w:rsid w:val="47CA7CD2"/>
    <w:rsid w:val="47FB114A"/>
    <w:rsid w:val="49E51AEA"/>
    <w:rsid w:val="49F95EBE"/>
    <w:rsid w:val="4A462E88"/>
    <w:rsid w:val="4A844544"/>
    <w:rsid w:val="4ADE3AC3"/>
    <w:rsid w:val="4BAD7629"/>
    <w:rsid w:val="4D366E35"/>
    <w:rsid w:val="4DB12F74"/>
    <w:rsid w:val="4E133190"/>
    <w:rsid w:val="4ECA7F19"/>
    <w:rsid w:val="4F40027A"/>
    <w:rsid w:val="4FDA01BE"/>
    <w:rsid w:val="50E45A49"/>
    <w:rsid w:val="50FA206F"/>
    <w:rsid w:val="516D409C"/>
    <w:rsid w:val="5175120E"/>
    <w:rsid w:val="51916A7A"/>
    <w:rsid w:val="521E0D27"/>
    <w:rsid w:val="52E31AA5"/>
    <w:rsid w:val="53DF10F7"/>
    <w:rsid w:val="54427B77"/>
    <w:rsid w:val="54D47567"/>
    <w:rsid w:val="557E7D89"/>
    <w:rsid w:val="557F74C3"/>
    <w:rsid w:val="55F821DF"/>
    <w:rsid w:val="56D436DF"/>
    <w:rsid w:val="56E2375B"/>
    <w:rsid w:val="57365758"/>
    <w:rsid w:val="573A64ED"/>
    <w:rsid w:val="57B11C8D"/>
    <w:rsid w:val="58F93E01"/>
    <w:rsid w:val="590D63E7"/>
    <w:rsid w:val="5A131428"/>
    <w:rsid w:val="5AAA35BF"/>
    <w:rsid w:val="5ABE45A5"/>
    <w:rsid w:val="5B83040B"/>
    <w:rsid w:val="5BB800C6"/>
    <w:rsid w:val="5C577DF2"/>
    <w:rsid w:val="5CAC5023"/>
    <w:rsid w:val="5CD07BF9"/>
    <w:rsid w:val="5D2C7E85"/>
    <w:rsid w:val="5DD5795B"/>
    <w:rsid w:val="5E8D0E00"/>
    <w:rsid w:val="5FBF192C"/>
    <w:rsid w:val="5FD230CB"/>
    <w:rsid w:val="60901A89"/>
    <w:rsid w:val="609D42E0"/>
    <w:rsid w:val="60C85161"/>
    <w:rsid w:val="61D230CA"/>
    <w:rsid w:val="622904E0"/>
    <w:rsid w:val="62492337"/>
    <w:rsid w:val="626E0FDE"/>
    <w:rsid w:val="62F138FF"/>
    <w:rsid w:val="632633EF"/>
    <w:rsid w:val="633B553C"/>
    <w:rsid w:val="63452A49"/>
    <w:rsid w:val="6355667B"/>
    <w:rsid w:val="63AD6DFA"/>
    <w:rsid w:val="640356F9"/>
    <w:rsid w:val="64247493"/>
    <w:rsid w:val="64DB7FF2"/>
    <w:rsid w:val="65193E6D"/>
    <w:rsid w:val="652074A8"/>
    <w:rsid w:val="657A7C68"/>
    <w:rsid w:val="65F03ED9"/>
    <w:rsid w:val="666939E4"/>
    <w:rsid w:val="66814499"/>
    <w:rsid w:val="66C15E68"/>
    <w:rsid w:val="66FF0490"/>
    <w:rsid w:val="670E41DA"/>
    <w:rsid w:val="6715699B"/>
    <w:rsid w:val="67181E00"/>
    <w:rsid w:val="672F5588"/>
    <w:rsid w:val="67C25A43"/>
    <w:rsid w:val="68501E37"/>
    <w:rsid w:val="697D0D08"/>
    <w:rsid w:val="699830D3"/>
    <w:rsid w:val="69C72B32"/>
    <w:rsid w:val="6A256381"/>
    <w:rsid w:val="6AAE40FB"/>
    <w:rsid w:val="6B6B072C"/>
    <w:rsid w:val="6C71494C"/>
    <w:rsid w:val="6CAF4FEF"/>
    <w:rsid w:val="6DCC1519"/>
    <w:rsid w:val="6E5E60C9"/>
    <w:rsid w:val="6F1F0010"/>
    <w:rsid w:val="6F7E5E46"/>
    <w:rsid w:val="6FEE18C9"/>
    <w:rsid w:val="7156685C"/>
    <w:rsid w:val="71C179F2"/>
    <w:rsid w:val="71FE4C17"/>
    <w:rsid w:val="726B38D2"/>
    <w:rsid w:val="72705681"/>
    <w:rsid w:val="72E22B87"/>
    <w:rsid w:val="73012309"/>
    <w:rsid w:val="73B9714D"/>
    <w:rsid w:val="74291F81"/>
    <w:rsid w:val="743D65AD"/>
    <w:rsid w:val="748A24B9"/>
    <w:rsid w:val="74AF78D9"/>
    <w:rsid w:val="75FA05EA"/>
    <w:rsid w:val="76F9201E"/>
    <w:rsid w:val="77387271"/>
    <w:rsid w:val="778618BA"/>
    <w:rsid w:val="7A5658A3"/>
    <w:rsid w:val="7BD859F4"/>
    <w:rsid w:val="7C504B7D"/>
    <w:rsid w:val="7CF73115"/>
    <w:rsid w:val="7CF855C3"/>
    <w:rsid w:val="7D34255F"/>
    <w:rsid w:val="7E4A4344"/>
    <w:rsid w:val="7EB05EDC"/>
    <w:rsid w:val="7ED67EF7"/>
    <w:rsid w:val="7EE27AD3"/>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2"/>
    <w:basedOn w:val="1"/>
    <w:qFormat/>
    <w:uiPriority w:val="0"/>
    <w:pPr>
      <w:spacing w:line="240" w:lineRule="auto"/>
      <w:ind w:firstLine="570" w:firstLineChars="0"/>
    </w:pPr>
    <w:rPr>
      <w:rFonts w:ascii="仿宋" w:hAnsi="仿宋" w:eastAsia="仿宋"/>
      <w:kern w:val="0"/>
      <w:sz w:val="20"/>
    </w:rPr>
  </w:style>
  <w:style w:type="paragraph" w:styleId="10">
    <w:name w:val="Body Text"/>
    <w:basedOn w:val="1"/>
    <w:next w:val="1"/>
    <w:qFormat/>
    <w:uiPriority w:val="0"/>
    <w:pPr>
      <w:spacing w:after="120"/>
    </w:pPr>
    <w:rPr>
      <w:szCs w:val="24"/>
    </w:rPr>
  </w:style>
  <w:style w:type="paragraph" w:styleId="11">
    <w:name w:val="Plain Text"/>
    <w:basedOn w:val="1"/>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unhideWhenUsed/>
    <w:qFormat/>
    <w:uiPriority w:val="99"/>
    <w:rPr>
      <w:color w:val="800080"/>
      <w:u w:val="single"/>
    </w:rPr>
  </w:style>
  <w:style w:type="character" w:styleId="19">
    <w:name w:val="Hyperlink"/>
    <w:basedOn w:val="17"/>
    <w:qFormat/>
    <w:uiPriority w:val="0"/>
    <w:rPr>
      <w:color w:val="0000FF"/>
      <w:u w:val="single"/>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p0"/>
    <w:basedOn w:val="1"/>
    <w:qFormat/>
    <w:uiPriority w:val="99"/>
    <w:pPr>
      <w:widowControl/>
      <w:jc w:val="left"/>
    </w:pPr>
    <w:rPr>
      <w:rFonts w:cs="宋体"/>
      <w:kern w:val="0"/>
      <w:szCs w:val="21"/>
    </w:rPr>
  </w:style>
  <w:style w:type="character" w:customStyle="1" w:styleId="22">
    <w:name w:val="font11"/>
    <w:basedOn w:val="17"/>
    <w:qFormat/>
    <w:uiPriority w:val="0"/>
    <w:rPr>
      <w:rFonts w:hint="eastAsia" w:ascii="宋体" w:hAnsi="宋体" w:eastAsia="宋体" w:cs="宋体"/>
      <w:color w:val="000000"/>
      <w:sz w:val="18"/>
      <w:szCs w:val="18"/>
      <w:u w:val="none"/>
    </w:rPr>
  </w:style>
  <w:style w:type="paragraph" w:customStyle="1" w:styleId="23">
    <w:name w:val="Table Paragraph"/>
    <w:basedOn w:val="1"/>
    <w:qFormat/>
    <w:uiPriority w:val="1"/>
    <w:rPr>
      <w:rFonts w:ascii="宋体" w:hAnsi="宋体" w:cs="宋体"/>
      <w:lang w:val="zh-CN" w:bidi="zh-CN"/>
    </w:rPr>
  </w:style>
  <w:style w:type="paragraph" w:customStyle="1" w:styleId="24">
    <w:name w:val="列出段落1"/>
    <w:basedOn w:val="1"/>
    <w:qFormat/>
    <w:uiPriority w:val="0"/>
    <w:pPr>
      <w:ind w:firstLine="420" w:firstLineChars="200"/>
    </w:pPr>
  </w:style>
  <w:style w:type="paragraph" w:customStyle="1" w:styleId="25">
    <w:name w:val="List Paragraph"/>
    <w:basedOn w:val="1"/>
    <w:qFormat/>
    <w:uiPriority w:val="0"/>
    <w:pPr>
      <w:ind w:firstLine="420" w:firstLineChars="200"/>
    </w:pPr>
    <w:rPr>
      <w:szCs w:val="20"/>
    </w:rPr>
  </w:style>
  <w:style w:type="paragraph" w:customStyle="1" w:styleId="26">
    <w:name w:val="文中正文"/>
    <w:basedOn w:val="1"/>
    <w:qFormat/>
    <w:uiPriority w:val="99"/>
    <w:pPr>
      <w:ind w:firstLine="640" w:firstLineChars="200"/>
    </w:pPr>
    <w:rPr>
      <w:rFonts w:eastAsia="方正楷体简体"/>
      <w:bCs/>
      <w:spacing w:val="20"/>
      <w:sz w:val="28"/>
      <w:szCs w:val="24"/>
    </w:rPr>
  </w:style>
  <w:style w:type="paragraph" w:customStyle="1" w:styleId="27">
    <w:name w:val="大标题"/>
    <w:basedOn w:val="1"/>
    <w:qFormat/>
    <w:uiPriority w:val="99"/>
    <w:pPr>
      <w:spacing w:beforeLines="100" w:afterLines="50"/>
      <w:jc w:val="center"/>
    </w:pPr>
    <w:rPr>
      <w:rFonts w:eastAsia="方正魏碑简体"/>
      <w:bCs/>
      <w:spacing w:val="20"/>
      <w:sz w:val="72"/>
      <w:szCs w:val="24"/>
    </w:rPr>
  </w:style>
  <w:style w:type="character" w:customStyle="1" w:styleId="28">
    <w:name w:val="font71"/>
    <w:basedOn w:val="17"/>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2020-11-27T07:23:00Z</cp:lastPrinted>
  <dcterms:modified xsi:type="dcterms:W3CDTF">2021-03-01T06:26:21Z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