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highlight w:val="none"/>
        </w:rPr>
      </w:pPr>
      <w:r>
        <w:rPr>
          <w:rFonts w:hint="eastAsia" w:ascii="宋体" w:hAnsi="宋体" w:cs="宋体"/>
          <w:b/>
          <w:sz w:val="28"/>
          <w:szCs w:val="28"/>
          <w:highlight w:val="none"/>
        </w:rPr>
        <w:t>附表一</w:t>
      </w:r>
    </w:p>
    <w:p>
      <w:pPr>
        <w:pStyle w:val="7"/>
        <w:ind w:firstLine="0"/>
        <w:jc w:val="center"/>
        <w:rPr>
          <w:rFonts w:hint="eastAsia" w:cs="仿宋"/>
          <w:b/>
          <w:bCs/>
          <w:sz w:val="32"/>
          <w:szCs w:val="32"/>
          <w:highlight w:val="none"/>
        </w:rPr>
      </w:pPr>
      <w:r>
        <w:rPr>
          <w:rFonts w:hint="eastAsia" w:cs="仿宋"/>
          <w:b/>
          <w:bCs/>
          <w:sz w:val="32"/>
          <w:szCs w:val="32"/>
          <w:highlight w:val="none"/>
        </w:rPr>
        <w:t>四川交投建设工程股份有限公司达州养护基地</w:t>
      </w:r>
    </w:p>
    <w:p>
      <w:pPr>
        <w:pStyle w:val="7"/>
        <w:ind w:firstLine="0"/>
        <w:jc w:val="center"/>
        <w:rPr>
          <w:rFonts w:hint="eastAsia" w:cs="仿宋"/>
          <w:b/>
          <w:bCs/>
          <w:sz w:val="32"/>
          <w:szCs w:val="32"/>
          <w:highlight w:val="none"/>
        </w:rPr>
      </w:pPr>
      <w:r>
        <w:rPr>
          <w:rFonts w:hint="eastAsia" w:cs="仿宋"/>
          <w:b/>
          <w:bCs/>
          <w:sz w:val="32"/>
          <w:szCs w:val="32"/>
          <w:highlight w:val="none"/>
          <w:lang w:eastAsia="zh-CN"/>
        </w:rPr>
        <w:t>场站土建工程</w:t>
      </w:r>
      <w:r>
        <w:rPr>
          <w:rFonts w:hint="eastAsia" w:cs="仿宋"/>
          <w:b/>
          <w:bCs/>
          <w:sz w:val="32"/>
          <w:szCs w:val="32"/>
          <w:highlight w:val="none"/>
        </w:rPr>
        <w:t>项目分段划分、工程规模、工期统计表</w:t>
      </w:r>
    </w:p>
    <w:tbl>
      <w:tblPr>
        <w:tblStyle w:val="6"/>
        <w:tblpPr w:leftFromText="180" w:rightFromText="180" w:vertAnchor="text" w:horzAnchor="page" w:tblpX="1070" w:tblpY="594"/>
        <w:tblOverlap w:val="never"/>
        <w:tblW w:w="14955" w:type="dxa"/>
        <w:tblInd w:w="0" w:type="dxa"/>
        <w:tblLayout w:type="fixed"/>
        <w:tblCellMar>
          <w:top w:w="0" w:type="dxa"/>
          <w:left w:w="0" w:type="dxa"/>
          <w:bottom w:w="0" w:type="dxa"/>
          <w:right w:w="0" w:type="dxa"/>
        </w:tblCellMar>
      </w:tblPr>
      <w:tblGrid>
        <w:gridCol w:w="527"/>
        <w:gridCol w:w="675"/>
        <w:gridCol w:w="2054"/>
        <w:gridCol w:w="850"/>
        <w:gridCol w:w="4109"/>
        <w:gridCol w:w="4790"/>
        <w:gridCol w:w="990"/>
        <w:gridCol w:w="960"/>
      </w:tblGrid>
      <w:tr>
        <w:tblPrEx>
          <w:tblLayout w:type="fixed"/>
          <w:tblCellMar>
            <w:top w:w="0" w:type="dxa"/>
            <w:left w:w="0" w:type="dxa"/>
            <w:bottom w:w="0" w:type="dxa"/>
            <w:right w:w="0" w:type="dxa"/>
          </w:tblCellMar>
        </w:tblPrEx>
        <w:trPr>
          <w:trHeight w:val="930" w:hRule="atLeast"/>
          <w:tblHead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标段</w:t>
            </w:r>
          </w:p>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名称</w:t>
            </w:r>
          </w:p>
        </w:tc>
        <w:tc>
          <w:tcPr>
            <w:tcW w:w="2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里程段落</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长度（m）</w:t>
            </w:r>
          </w:p>
        </w:tc>
        <w:tc>
          <w:tcPr>
            <w:tcW w:w="4109"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工程规模概况</w:t>
            </w:r>
          </w:p>
        </w:tc>
        <w:tc>
          <w:tcPr>
            <w:tcW w:w="47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 w:val="18"/>
                <w:szCs w:val="18"/>
                <w:highlight w:val="none"/>
                <w:lang w:eastAsia="zh-CN"/>
              </w:rPr>
            </w:pPr>
            <w:r>
              <w:rPr>
                <w:rFonts w:hint="eastAsia" w:ascii="宋体" w:hAnsi="宋体" w:cs="宋体"/>
                <w:kern w:val="0"/>
                <w:sz w:val="18"/>
                <w:szCs w:val="18"/>
                <w:highlight w:val="none"/>
                <w:lang w:bidi="ar"/>
              </w:rPr>
              <w:t>工作内容</w:t>
            </w:r>
            <w:r>
              <w:rPr>
                <w:rFonts w:hint="eastAsia" w:ascii="宋体" w:hAnsi="宋体" w:cs="宋体"/>
                <w:kern w:val="0"/>
                <w:sz w:val="18"/>
                <w:szCs w:val="18"/>
                <w:highlight w:val="none"/>
                <w:lang w:eastAsia="zh-CN" w:bidi="ar"/>
              </w:rPr>
              <w:t>（</w:t>
            </w:r>
            <w:r>
              <w:rPr>
                <w:rFonts w:hint="eastAsia" w:ascii="宋体" w:hAnsi="宋体" w:cs="宋体"/>
                <w:kern w:val="0"/>
                <w:sz w:val="18"/>
                <w:szCs w:val="18"/>
                <w:highlight w:val="none"/>
                <w:lang w:val="en-US" w:eastAsia="zh-CN" w:bidi="ar"/>
              </w:rPr>
              <w:t>详情见达州养护基地场站土建工程清单明细</w:t>
            </w:r>
            <w:r>
              <w:rPr>
                <w:rFonts w:hint="eastAsia" w:ascii="宋体" w:hAnsi="宋体" w:cs="宋体"/>
                <w:kern w:val="0"/>
                <w:sz w:val="18"/>
                <w:szCs w:val="18"/>
                <w:highlight w:val="none"/>
                <w:lang w:eastAsia="zh-CN" w:bidi="ar"/>
              </w:rPr>
              <w:t>）</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工期（月）</w:t>
            </w:r>
          </w:p>
        </w:tc>
        <w:tc>
          <w:tcPr>
            <w:tcW w:w="96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备注</w:t>
            </w:r>
          </w:p>
        </w:tc>
      </w:tr>
      <w:tr>
        <w:tblPrEx>
          <w:tblLayout w:type="fixed"/>
          <w:tblCellMar>
            <w:top w:w="0" w:type="dxa"/>
            <w:left w:w="0" w:type="dxa"/>
            <w:bottom w:w="0" w:type="dxa"/>
            <w:right w:w="0" w:type="dxa"/>
          </w:tblCellMar>
        </w:tblPrEx>
        <w:trPr>
          <w:trHeight w:val="4483" w:hRule="atLeast"/>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bidi="ar"/>
              </w:rPr>
            </w:pPr>
          </w:p>
        </w:tc>
        <w:tc>
          <w:tcPr>
            <w:tcW w:w="2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c>
          <w:tcPr>
            <w:tcW w:w="4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cs="宋体"/>
                <w:color w:val="000000"/>
                <w:kern w:val="0"/>
                <w:sz w:val="18"/>
                <w:szCs w:val="18"/>
                <w:highlight w:val="none"/>
                <w:lang w:val="en-US" w:bidi="ar"/>
              </w:rPr>
            </w:pPr>
            <w:r>
              <w:rPr>
                <w:rFonts w:hint="eastAsia" w:ascii="宋体" w:hAnsi="宋体" w:cs="宋体"/>
                <w:color w:val="000000"/>
                <w:kern w:val="0"/>
                <w:sz w:val="18"/>
                <w:szCs w:val="18"/>
                <w:highlight w:val="none"/>
                <w:lang w:val="en-US" w:eastAsia="zh-CN" w:bidi="ar"/>
              </w:rPr>
              <w:t>主要为养护基地的平整场地、挖填土石方、边坡处治、附属工程等</w:t>
            </w:r>
          </w:p>
        </w:tc>
        <w:tc>
          <w:tcPr>
            <w:tcW w:w="47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挖石方（次坚石）约15.3万方；回填填土石方（利用次坚石）约15.1万方；挖方段边坡防护(挂网喷砼8-10cm）约6800㎡；填方段护坡防护（网格护坡）约3610.36㎡；20cm厚C20砼场地硬化(拌和站)约872m³；C20砼排水边沟约102m³；污水排水管HDPE双壁波纹管DN300约500m；C15板房基础厚15cm约300m³；M7.5水泥砂浆砌砖(旗台、大门)约48m³；2cm厚M10水泥砂浆抹灰(旗台、大门)约240m³；粘瓷砖（旗台、大门）约13.6m³；C20砼化粪池约14.48m³；停车区表标线20㎡；C20砼化粪池约14.48m³；M7.5水泥砂浆砌砖(花台)m³；20cm厚C20砼场地硬化(拌和站)约5319.6m³；隔墙C20砼约640m³；；C20砼基座（拌合楼、配料仓、储油罐等）约735m³；C15板房基础厚15cm约84m³；C20砼排水边沟393.6m³；2cm厚钢盖板约142.5㎡；M7.5水泥砂浆砌砖(基础)约61m³；2cm厚M10水泥砂浆抹灰(基础)约240㎡；锌钢护栏约450m；M7.5水泥砂浆砌砖立柱约5m³；2cm厚M10水泥砂浆抹灰立柱约20㎡；粘瓷砖立柱约20㎡；伸缩式电动门约15m；C20砼沉砂池（洗车）约18.9m³；砖砌蓄水池约19.584m³；临边防护栏杆52m</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val="en-US" w:eastAsia="zh-CN" w:bidi="ar"/>
              </w:rPr>
              <w:t>4</w:t>
            </w:r>
            <w:r>
              <w:rPr>
                <w:rFonts w:hint="eastAsia" w:ascii="宋体" w:hAnsi="宋体" w:cs="宋体"/>
                <w:kern w:val="0"/>
                <w:sz w:val="18"/>
                <w:szCs w:val="18"/>
                <w:highlight w:val="none"/>
                <w:lang w:bidi="ar"/>
              </w:rPr>
              <w:t>个月（具体以</w:t>
            </w:r>
            <w:r>
              <w:rPr>
                <w:rFonts w:hint="eastAsia" w:ascii="宋体" w:hAnsi="宋体" w:cs="宋体"/>
                <w:kern w:val="0"/>
                <w:sz w:val="18"/>
                <w:szCs w:val="18"/>
                <w:highlight w:val="none"/>
                <w:lang w:val="en-US" w:eastAsia="zh-CN" w:bidi="ar"/>
              </w:rPr>
              <w:t>甲方</w:t>
            </w:r>
            <w:r>
              <w:rPr>
                <w:rFonts w:hint="eastAsia" w:ascii="宋体" w:hAnsi="宋体" w:cs="宋体"/>
                <w:kern w:val="0"/>
                <w:sz w:val="18"/>
                <w:szCs w:val="18"/>
                <w:highlight w:val="none"/>
                <w:lang w:bidi="ar"/>
              </w:rPr>
              <w:t>要求为准）</w:t>
            </w:r>
          </w:p>
        </w:tc>
        <w:tc>
          <w:tcPr>
            <w:tcW w:w="9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具体参数以设计图纸为准</w:t>
            </w:r>
          </w:p>
        </w:tc>
      </w:tr>
    </w:tbl>
    <w:p>
      <w:pPr>
        <w:pStyle w:val="7"/>
        <w:jc w:val="left"/>
        <w:rPr>
          <w:rFonts w:ascii="宋体" w:hAnsi="宋体" w:eastAsia="宋体" w:cs="宋体"/>
          <w:b/>
          <w:sz w:val="28"/>
          <w:szCs w:val="28"/>
          <w:highlight w:val="none"/>
        </w:rPr>
      </w:pPr>
    </w:p>
    <w:p/>
    <w:p>
      <w:pPr>
        <w:pStyle w:val="7"/>
        <w:jc w:val="left"/>
        <w:rPr>
          <w:rFonts w:ascii="宋体" w:hAnsi="宋体" w:eastAsia="宋体" w:cs="宋体"/>
          <w:b/>
          <w:sz w:val="28"/>
          <w:szCs w:val="28"/>
          <w:highlight w:val="none"/>
        </w:rPr>
      </w:pPr>
    </w:p>
    <w:p>
      <w:pPr>
        <w:pStyle w:val="7"/>
        <w:jc w:val="left"/>
        <w:rPr>
          <w:rFonts w:ascii="宋体" w:hAnsi="宋体" w:eastAsia="宋体" w:cs="宋体"/>
          <w:b/>
          <w:sz w:val="28"/>
          <w:szCs w:val="28"/>
          <w:highlight w:val="none"/>
        </w:rPr>
      </w:pPr>
    </w:p>
    <w:p>
      <w:pPr>
        <w:rPr>
          <w:rFonts w:ascii="宋体" w:hAnsi="宋体" w:eastAsia="宋体" w:cs="宋体"/>
          <w:b/>
          <w:sz w:val="28"/>
          <w:szCs w:val="28"/>
          <w:highlight w:val="none"/>
        </w:rPr>
      </w:pPr>
    </w:p>
    <w:p>
      <w:pPr>
        <w:pStyle w:val="7"/>
        <w:rPr>
          <w:rFonts w:ascii="宋体" w:hAnsi="宋体" w:eastAsia="宋体" w:cs="宋体"/>
          <w:b/>
          <w:sz w:val="28"/>
          <w:szCs w:val="28"/>
          <w:highlight w:val="none"/>
        </w:rPr>
      </w:pPr>
    </w:p>
    <w:p>
      <w:pPr>
        <w:rPr>
          <w:rFonts w:ascii="宋体" w:hAnsi="宋体" w:eastAsia="宋体" w:cs="宋体"/>
          <w:b/>
          <w:sz w:val="28"/>
          <w:szCs w:val="28"/>
          <w:highlight w:val="none"/>
        </w:rPr>
      </w:pPr>
    </w:p>
    <w:p>
      <w:pPr>
        <w:pStyle w:val="7"/>
        <w:rPr>
          <w:rFonts w:ascii="宋体" w:hAnsi="宋体" w:eastAsia="宋体" w:cs="宋体"/>
          <w:b/>
          <w:sz w:val="28"/>
          <w:szCs w:val="28"/>
          <w:highlight w:val="none"/>
        </w:rPr>
      </w:pPr>
    </w:p>
    <w:p>
      <w:pPr>
        <w:rPr>
          <w:rFonts w:ascii="宋体" w:hAnsi="宋体" w:eastAsia="宋体" w:cs="宋体"/>
          <w:b/>
          <w:sz w:val="28"/>
          <w:szCs w:val="28"/>
          <w:highlight w:val="none"/>
        </w:rPr>
      </w:pPr>
    </w:p>
    <w:p>
      <w:pPr>
        <w:pStyle w:val="7"/>
        <w:rPr>
          <w:rFonts w:ascii="宋体" w:hAnsi="宋体" w:eastAsia="宋体" w:cs="宋体"/>
          <w:b/>
          <w:sz w:val="28"/>
          <w:szCs w:val="28"/>
          <w:highlight w:val="none"/>
        </w:rPr>
      </w:pPr>
    </w:p>
    <w:p/>
    <w:p>
      <w:pPr>
        <w:pStyle w:val="7"/>
        <w:rPr>
          <w:rFonts w:ascii="宋体" w:hAnsi="宋体" w:eastAsia="宋体" w:cs="宋体"/>
          <w:b/>
          <w:sz w:val="28"/>
          <w:szCs w:val="28"/>
          <w:highlight w:val="none"/>
        </w:rPr>
      </w:pPr>
    </w:p>
    <w:p/>
    <w:p>
      <w:pPr>
        <w:pStyle w:val="7"/>
        <w:jc w:val="left"/>
        <w:rPr>
          <w:rFonts w:ascii="宋体" w:hAnsi="宋体" w:eastAsia="宋体" w:cs="宋体"/>
          <w:b/>
          <w:sz w:val="28"/>
          <w:szCs w:val="28"/>
          <w:highlight w:val="none"/>
        </w:rPr>
      </w:pPr>
    </w:p>
    <w:p>
      <w:pPr>
        <w:pStyle w:val="7"/>
        <w:jc w:val="left"/>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7"/>
        <w:ind w:firstLine="0"/>
        <w:jc w:val="center"/>
        <w:rPr>
          <w:rFonts w:cs="仿宋"/>
          <w:b/>
          <w:bCs/>
          <w:sz w:val="32"/>
          <w:szCs w:val="32"/>
          <w:highlight w:val="none"/>
        </w:rPr>
      </w:pPr>
    </w:p>
    <w:p>
      <w:pPr>
        <w:pStyle w:val="7"/>
        <w:ind w:firstLine="0"/>
        <w:jc w:val="center"/>
        <w:rPr>
          <w:rFonts w:hint="eastAsia" w:cs="仿宋"/>
          <w:b/>
          <w:bCs/>
          <w:sz w:val="32"/>
          <w:szCs w:val="32"/>
          <w:highlight w:val="none"/>
        </w:rPr>
      </w:pPr>
      <w:r>
        <w:rPr>
          <w:rFonts w:hint="eastAsia" w:cs="仿宋"/>
          <w:b/>
          <w:bCs/>
          <w:sz w:val="32"/>
          <w:szCs w:val="32"/>
          <w:highlight w:val="none"/>
        </w:rPr>
        <w:t>四川交投建设工程股份有限公司达州养护基地</w:t>
      </w:r>
      <w:r>
        <w:rPr>
          <w:rFonts w:hint="eastAsia" w:cs="仿宋"/>
          <w:b/>
          <w:bCs/>
          <w:sz w:val="32"/>
          <w:szCs w:val="32"/>
          <w:highlight w:val="none"/>
          <w:lang w:eastAsia="zh-CN"/>
        </w:rPr>
        <w:t>场站土建工程</w:t>
      </w:r>
      <w:r>
        <w:rPr>
          <w:rFonts w:hint="eastAsia" w:cs="仿宋"/>
          <w:b/>
          <w:bCs/>
          <w:sz w:val="32"/>
          <w:szCs w:val="32"/>
          <w:highlight w:val="none"/>
        </w:rPr>
        <w:t>项目</w:t>
      </w:r>
    </w:p>
    <w:p>
      <w:pPr>
        <w:pStyle w:val="7"/>
        <w:ind w:firstLine="0"/>
        <w:jc w:val="center"/>
        <w:rPr>
          <w:rFonts w:cs="仿宋"/>
          <w:b/>
          <w:bCs/>
          <w:sz w:val="32"/>
          <w:szCs w:val="32"/>
          <w:highlight w:val="none"/>
        </w:rPr>
      </w:pPr>
      <w:r>
        <w:rPr>
          <w:rFonts w:hint="eastAsia" w:cs="仿宋"/>
          <w:b/>
          <w:bCs/>
          <w:sz w:val="32"/>
          <w:szCs w:val="32"/>
          <w:highlight w:val="none"/>
        </w:rPr>
        <w:t>施工企业资质等级要求、业绩基本要求</w:t>
      </w:r>
    </w:p>
    <w:p>
      <w:pPr>
        <w:pStyle w:val="7"/>
        <w:ind w:firstLine="0"/>
        <w:jc w:val="center"/>
        <w:rPr>
          <w:rFonts w:ascii="宋体" w:hAnsi="宋体" w:eastAsia="宋体" w:cs="宋体"/>
          <w:b/>
          <w:sz w:val="28"/>
          <w:szCs w:val="28"/>
          <w:highlight w:val="none"/>
        </w:rPr>
      </w:pPr>
    </w:p>
    <w:tbl>
      <w:tblPr>
        <w:tblStyle w:val="6"/>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Layout w:type="fixed"/>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Layout w:type="fixed"/>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r>
              <w:rPr>
                <w:rFonts w:hint="eastAsia" w:ascii="宋体" w:hAnsi="宋体" w:cs="宋体"/>
                <w:kern w:val="0"/>
                <w:sz w:val="18"/>
                <w:szCs w:val="18"/>
                <w:highlight w:val="none"/>
                <w:lang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hint="eastAsia" w:ascii="宋体" w:hAnsi="宋体" w:eastAsia="宋体" w:cs="宋体"/>
                <w:sz w:val="18"/>
                <w:szCs w:val="18"/>
                <w:highlight w:val="none"/>
                <w:lang w:val="en-US" w:eastAsia="zh-CN"/>
              </w:rPr>
            </w:pP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bidi="ar"/>
              </w:rPr>
            </w:pPr>
            <w:r>
              <w:rPr>
                <w:rFonts w:hint="eastAsia" w:ascii="宋体" w:hAnsi="宋体" w:cs="宋体"/>
                <w:kern w:val="0"/>
                <w:sz w:val="18"/>
                <w:szCs w:val="18"/>
                <w:highlight w:val="none"/>
                <w:lang w:eastAsia="zh-CN" w:bidi="ar"/>
              </w:rPr>
              <w:t>附属工程</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具有住房和城乡建设部颁发的施工劳务资质或公路工程施工总承包三级及以上资质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5年内（2015年1月1日至今）至少</w:t>
            </w:r>
            <w:r>
              <w:rPr>
                <w:rFonts w:hint="eastAsia" w:ascii="宋体" w:hAnsi="宋体" w:cs="宋体"/>
                <w:sz w:val="18"/>
                <w:szCs w:val="18"/>
                <w:highlight w:val="none"/>
              </w:rPr>
              <w:t>具有1个</w:t>
            </w:r>
            <w:r>
              <w:rPr>
                <w:rFonts w:hint="eastAsia" w:ascii="宋体" w:hAnsi="宋体" w:cs="宋体"/>
                <w:sz w:val="18"/>
                <w:szCs w:val="18"/>
                <w:highlight w:val="none"/>
                <w:lang w:eastAsia="zh-CN"/>
              </w:rPr>
              <w:t>路基土石方</w:t>
            </w:r>
            <w:r>
              <w:rPr>
                <w:rFonts w:hint="eastAsia" w:ascii="宋体" w:hAnsi="宋体" w:cs="宋体"/>
                <w:sz w:val="18"/>
                <w:szCs w:val="18"/>
                <w:highlight w:val="none"/>
                <w:lang w:val="en-US" w:eastAsia="zh-CN"/>
              </w:rPr>
              <w:t>建设</w:t>
            </w:r>
            <w:r>
              <w:rPr>
                <w:rFonts w:hint="eastAsia" w:ascii="宋体" w:hAnsi="宋体" w:cs="宋体"/>
                <w:sz w:val="18"/>
                <w:szCs w:val="18"/>
                <w:highlight w:val="none"/>
              </w:rPr>
              <w:t>施工项目施工业绩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bl>
    <w:p>
      <w:pPr>
        <w:pStyle w:val="7"/>
        <w:ind w:firstLine="0"/>
        <w:jc w:val="center"/>
        <w:rPr>
          <w:rFonts w:cs="仿宋"/>
          <w:b/>
          <w:bCs/>
          <w:sz w:val="32"/>
          <w:szCs w:val="32"/>
          <w:highlight w:val="none"/>
        </w:rPr>
      </w:pPr>
    </w:p>
    <w:p>
      <w:pPr>
        <w:pStyle w:val="7"/>
        <w:ind w:firstLine="0"/>
        <w:jc w:val="center"/>
        <w:rPr>
          <w:rFonts w:cs="仿宋"/>
          <w:b/>
          <w:bCs/>
          <w:sz w:val="32"/>
          <w:szCs w:val="32"/>
          <w:highlight w:val="none"/>
        </w:rPr>
      </w:pPr>
    </w:p>
    <w:p>
      <w:pPr>
        <w:pStyle w:val="7"/>
        <w:ind w:firstLine="0"/>
        <w:jc w:val="center"/>
        <w:rPr>
          <w:rFonts w:cs="仿宋"/>
          <w:b/>
          <w:bCs/>
          <w:sz w:val="32"/>
          <w:szCs w:val="32"/>
          <w:highlight w:val="none"/>
        </w:rPr>
      </w:pPr>
    </w:p>
    <w:p>
      <w:pPr>
        <w:pStyle w:val="9"/>
        <w:tabs>
          <w:tab w:val="right" w:leader="dot" w:pos="8306"/>
        </w:tabs>
        <w:jc w:val="center"/>
        <w:rPr>
          <w:rFonts w:ascii="等线" w:hAnsi="等线" w:eastAsia="等线" w:cs="等线"/>
          <w:b/>
          <w:bCs/>
          <w:sz w:val="48"/>
          <w:szCs w:val="48"/>
          <w:highlight w:val="none"/>
          <w:lang w:bidi="zh-CN"/>
        </w:rPr>
        <w:sectPr>
          <w:pgSz w:w="16838" w:h="11911" w:orient="landscape"/>
          <w:pgMar w:top="1100" w:right="1599" w:bottom="1179" w:left="1298" w:header="0" w:footer="567" w:gutter="0"/>
          <w:pgNumType w:fmt="decimal"/>
          <w:cols w:space="720" w:num="1"/>
          <w:docGrid w:linePitch="1" w:charSpace="0"/>
        </w:sectPr>
      </w:pPr>
    </w:p>
    <w:p>
      <w:pPr>
        <w:pStyle w:val="7"/>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四川交投建设工程股份有限公司达州养护基地</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lang w:eastAsia="zh-CN"/>
              </w:rPr>
              <w:t>场站土建工程</w:t>
            </w:r>
            <w:r>
              <w:rPr>
                <w:rFonts w:hint="eastAsia" w:ascii="仿宋" w:hAnsi="仿宋" w:eastAsia="仿宋" w:cs="仿宋"/>
                <w:b/>
                <w:bCs/>
                <w:sz w:val="28"/>
                <w:szCs w:val="28"/>
                <w:highlight w:val="none"/>
              </w:rPr>
              <w:t>项目拟</w:t>
            </w:r>
            <w:r>
              <w:rPr>
                <w:rFonts w:hint="eastAsia" w:ascii="仿宋" w:hAnsi="仿宋" w:eastAsia="仿宋" w:cs="仿宋"/>
                <w:b/>
                <w:kern w:val="0"/>
                <w:sz w:val="28"/>
                <w:szCs w:val="28"/>
                <w:highlight w:val="none"/>
                <w:lang w:bidi="ar"/>
              </w:rPr>
              <w:t>投入人员配置表(最低要求）</w:t>
            </w:r>
          </w:p>
          <w:p>
            <w:pPr>
              <w:widowControl/>
              <w:wordWrap w:val="0"/>
              <w:jc w:val="center"/>
              <w:textAlignment w:val="center"/>
              <w:rPr>
                <w:rFonts w:ascii="宋体" w:hAnsi="宋体" w:cs="宋体"/>
                <w:b/>
                <w:sz w:val="28"/>
                <w:szCs w:val="28"/>
                <w:highlight w:val="none"/>
              </w:rPr>
            </w:pPr>
            <w:r>
              <w:rPr>
                <w:rFonts w:hint="eastAsia" w:ascii="仿宋" w:hAnsi="仿宋" w:eastAsia="仿宋" w:cs="仿宋"/>
                <w:b/>
                <w:kern w:val="0"/>
                <w:sz w:val="28"/>
                <w:szCs w:val="28"/>
                <w:highlight w:val="none"/>
                <w:lang w:bidi="ar"/>
              </w:rPr>
              <w:t>适用于</w:t>
            </w:r>
            <w:r>
              <w:rPr>
                <w:rFonts w:hint="eastAsia" w:ascii="仿宋" w:hAnsi="仿宋" w:eastAsia="仿宋" w:cs="仿宋"/>
                <w:b/>
                <w:kern w:val="0"/>
                <w:sz w:val="28"/>
                <w:szCs w:val="28"/>
                <w:highlight w:val="none"/>
                <w:lang w:val="en-US" w:eastAsia="zh-CN" w:bidi="ar"/>
              </w:rPr>
              <w:t>本标</w:t>
            </w:r>
            <w:r>
              <w:rPr>
                <w:rFonts w:hint="eastAsia" w:ascii="仿宋" w:hAnsi="仿宋" w:eastAsia="仿宋" w:cs="仿宋"/>
                <w:b/>
                <w:kern w:val="0"/>
                <w:sz w:val="28"/>
                <w:szCs w:val="28"/>
                <w:highlight w:val="none"/>
                <w:lang w:bidi="ar"/>
              </w:rPr>
              <w:t>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kern w:val="0"/>
                <w:szCs w:val="21"/>
                <w:highlight w:val="none"/>
                <w:lang w:bidi="ar"/>
              </w:rPr>
              <w:t>协助项目负责人负责项目进度、质量</w:t>
            </w:r>
            <w:r>
              <w:rPr>
                <w:rFonts w:hint="eastAsia" w:ascii="宋体" w:hAnsi="宋体" w:cs="宋体"/>
                <w:kern w:val="0"/>
                <w:szCs w:val="21"/>
                <w:highlight w:val="none"/>
                <w:lang w:eastAsia="zh-CN" w:bidi="ar"/>
              </w:rPr>
              <w:t>、安全、内业工作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single" w:color="auto" w:sz="4" w:space="0"/>
              <w:bottom w:val="nil"/>
              <w:tl2br w:val="nil"/>
              <w:tr2bl w:val="nil"/>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3、相关管理人员及技术人员必须在岗，有特殊情况离岗必须向项目部请假并得到批准。</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9747" w:type="dxa"/>
            <w:gridSpan w:val="5"/>
            <w:tcBorders>
              <w:top w:val="nil"/>
            </w:tcBorders>
            <w:tcMar>
              <w:top w:w="15" w:type="dxa"/>
              <w:left w:w="15" w:type="dxa"/>
              <w:right w:w="15" w:type="dxa"/>
            </w:tcMar>
            <w:vAlign w:val="center"/>
          </w:tcPr>
          <w:p>
            <w:pPr>
              <w:widowControl/>
              <w:jc w:val="left"/>
              <w:textAlignment w:val="center"/>
              <w:rPr>
                <w:rFonts w:ascii="宋体" w:hAnsi="宋体" w:cs="宋体"/>
                <w:kern w:val="0"/>
                <w:sz w:val="18"/>
                <w:szCs w:val="18"/>
                <w:highlight w:val="none"/>
                <w:lang w:bidi="ar"/>
              </w:rPr>
            </w:pPr>
          </w:p>
        </w:tc>
      </w:tr>
    </w:tbl>
    <w:p>
      <w:pPr>
        <w:jc w:val="left"/>
        <w:rPr>
          <w:rFonts w:hint="eastAsia" w:ascii="宋体" w:hAnsi="宋体" w:cs="宋体"/>
          <w:b/>
          <w:sz w:val="28"/>
          <w:szCs w:val="28"/>
          <w:highlight w:val="none"/>
        </w:rPr>
      </w:pPr>
      <w:r>
        <w:rPr>
          <w:rFonts w:hint="eastAsia" w:ascii="宋体" w:hAnsi="宋体" w:cs="宋体"/>
          <w:b/>
          <w:sz w:val="28"/>
          <w:szCs w:val="28"/>
          <w:highlight w:val="none"/>
        </w:rPr>
        <w:br w:type="page"/>
      </w:r>
    </w:p>
    <w:p>
      <w:pPr>
        <w:pStyle w:val="7"/>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6"/>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四川交投建设工程股份有限公司达州养护基地</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lang w:eastAsia="zh-CN"/>
              </w:rPr>
              <w:t>场站土建工程</w:t>
            </w:r>
            <w:r>
              <w:rPr>
                <w:rFonts w:hint="eastAsia" w:ascii="仿宋" w:hAnsi="仿宋" w:eastAsia="仿宋" w:cs="仿宋"/>
                <w:b/>
                <w:bCs/>
                <w:sz w:val="28"/>
                <w:szCs w:val="28"/>
                <w:highlight w:val="none"/>
              </w:rPr>
              <w:t>项目拟</w:t>
            </w:r>
            <w:r>
              <w:rPr>
                <w:rFonts w:hint="eastAsia" w:ascii="仿宋" w:hAnsi="仿宋" w:eastAsia="仿宋" w:cs="仿宋"/>
                <w:b/>
                <w:kern w:val="0"/>
                <w:sz w:val="28"/>
                <w:szCs w:val="28"/>
                <w:highlight w:val="none"/>
                <w:lang w:bidi="ar"/>
              </w:rPr>
              <w:t>投入设备明细表(最低要求）</w:t>
            </w:r>
          </w:p>
          <w:p>
            <w:pPr>
              <w:widowControl/>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val="en-US" w:eastAsia="zh-CN" w:bidi="ar"/>
              </w:rPr>
              <w:t xml:space="preserve">  </w:t>
            </w:r>
            <w:r>
              <w:rPr>
                <w:rFonts w:hint="eastAsia" w:ascii="仿宋" w:hAnsi="仿宋" w:eastAsia="仿宋" w:cs="仿宋"/>
                <w:b/>
                <w:bCs/>
                <w:sz w:val="28"/>
                <w:szCs w:val="28"/>
                <w:highlight w:val="none"/>
                <w:lang w:bidi="ar"/>
              </w:rPr>
              <w:t>适用于</w:t>
            </w:r>
            <w:r>
              <w:rPr>
                <w:rFonts w:hint="eastAsia" w:ascii="仿宋" w:hAnsi="仿宋" w:eastAsia="仿宋" w:cs="仿宋"/>
                <w:b/>
                <w:kern w:val="0"/>
                <w:sz w:val="28"/>
                <w:szCs w:val="28"/>
                <w:highlight w:val="none"/>
                <w:lang w:val="en-US" w:eastAsia="zh-CN" w:bidi="ar"/>
              </w:rPr>
              <w:t>本标</w:t>
            </w:r>
            <w:r>
              <w:rPr>
                <w:rFonts w:hint="eastAsia" w:ascii="仿宋" w:hAnsi="仿宋" w:eastAsia="仿宋" w:cs="仿宋"/>
                <w:b/>
                <w:kern w:val="0"/>
                <w:sz w:val="28"/>
                <w:szCs w:val="28"/>
                <w:highlight w:val="none"/>
                <w:lang w:bidi="ar"/>
              </w:rPr>
              <w:t>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6"/>
              <w:tblpPr w:leftFromText="180" w:rightFromText="180" w:vertAnchor="text" w:horzAnchor="page" w:tblpXSpec="center" w:tblpY="-2073"/>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636"/>
              <w:gridCol w:w="1004"/>
              <w:gridCol w:w="913"/>
              <w:gridCol w:w="900"/>
              <w:gridCol w:w="816"/>
              <w:gridCol w:w="1117"/>
              <w:gridCol w:w="767"/>
              <w:gridCol w:w="766"/>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645"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序号</w:t>
                  </w:r>
                </w:p>
              </w:tc>
              <w:tc>
                <w:tcPr>
                  <w:tcW w:w="163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机械设备名称</w:t>
                  </w:r>
                </w:p>
              </w:tc>
              <w:tc>
                <w:tcPr>
                  <w:tcW w:w="100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规格、型号</w:t>
                  </w:r>
                </w:p>
              </w:tc>
              <w:tc>
                <w:tcPr>
                  <w:tcW w:w="913"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单位</w:t>
                  </w:r>
                </w:p>
              </w:tc>
              <w:tc>
                <w:tcPr>
                  <w:tcW w:w="1716" w:type="dxa"/>
                  <w:gridSpan w:val="2"/>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基本要求</w:t>
                  </w:r>
                </w:p>
              </w:tc>
              <w:tc>
                <w:tcPr>
                  <w:tcW w:w="111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每增加一台自有设备加分值</w:t>
                  </w:r>
                </w:p>
              </w:tc>
              <w:tc>
                <w:tcPr>
                  <w:tcW w:w="767"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加分上限</w:t>
                  </w:r>
                </w:p>
              </w:tc>
              <w:tc>
                <w:tcPr>
                  <w:tcW w:w="76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出厂日期</w:t>
                  </w:r>
                </w:p>
              </w:tc>
              <w:tc>
                <w:tcPr>
                  <w:tcW w:w="108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atLeast"/>
              </w:trPr>
              <w:tc>
                <w:tcPr>
                  <w:tcW w:w="645" w:type="dxa"/>
                  <w:vMerge w:val="continue"/>
                  <w:vAlign w:val="center"/>
                </w:tcPr>
                <w:p>
                  <w:pPr>
                    <w:widowControl/>
                    <w:numPr>
                      <w:ilvl w:val="255"/>
                      <w:numId w:val="0"/>
                    </w:numPr>
                    <w:jc w:val="center"/>
                    <w:rPr>
                      <w:rFonts w:ascii="宋体" w:hAnsi="宋体" w:cs="宋体"/>
                      <w:sz w:val="18"/>
                      <w:szCs w:val="18"/>
                      <w:highlight w:val="none"/>
                    </w:rPr>
                  </w:pPr>
                </w:p>
              </w:tc>
              <w:tc>
                <w:tcPr>
                  <w:tcW w:w="1636" w:type="dxa"/>
                  <w:vMerge w:val="continue"/>
                  <w:vAlign w:val="center"/>
                </w:tcPr>
                <w:p>
                  <w:pPr>
                    <w:widowControl/>
                    <w:numPr>
                      <w:ilvl w:val="255"/>
                      <w:numId w:val="0"/>
                    </w:numPr>
                    <w:jc w:val="center"/>
                    <w:rPr>
                      <w:rFonts w:ascii="宋体" w:hAnsi="宋体" w:cs="宋体"/>
                      <w:sz w:val="18"/>
                      <w:szCs w:val="18"/>
                      <w:highlight w:val="none"/>
                    </w:rPr>
                  </w:pPr>
                </w:p>
              </w:tc>
              <w:tc>
                <w:tcPr>
                  <w:tcW w:w="1004" w:type="dxa"/>
                  <w:vMerge w:val="continue"/>
                  <w:vAlign w:val="center"/>
                </w:tcPr>
                <w:p>
                  <w:pPr>
                    <w:widowControl/>
                    <w:numPr>
                      <w:ilvl w:val="255"/>
                      <w:numId w:val="0"/>
                    </w:numPr>
                    <w:jc w:val="center"/>
                    <w:rPr>
                      <w:rFonts w:ascii="宋体" w:hAnsi="宋体" w:cs="宋体"/>
                      <w:sz w:val="18"/>
                      <w:szCs w:val="18"/>
                      <w:highlight w:val="none"/>
                    </w:rPr>
                  </w:pPr>
                </w:p>
              </w:tc>
              <w:tc>
                <w:tcPr>
                  <w:tcW w:w="913" w:type="dxa"/>
                  <w:vMerge w:val="continue"/>
                  <w:vAlign w:val="center"/>
                </w:tcPr>
                <w:p>
                  <w:pPr>
                    <w:widowControl/>
                    <w:numPr>
                      <w:ilvl w:val="255"/>
                      <w:numId w:val="0"/>
                    </w:numPr>
                    <w:jc w:val="center"/>
                    <w:rPr>
                      <w:rFonts w:ascii="宋体" w:hAnsi="宋体" w:cs="宋体"/>
                      <w:sz w:val="18"/>
                      <w:szCs w:val="18"/>
                      <w:highlight w:val="none"/>
                    </w:rPr>
                  </w:pPr>
                </w:p>
              </w:tc>
              <w:tc>
                <w:tcPr>
                  <w:tcW w:w="900"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总数量</w:t>
                  </w:r>
                </w:p>
              </w:tc>
              <w:tc>
                <w:tcPr>
                  <w:tcW w:w="816" w:type="dxa"/>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w:t>
                  </w:r>
                </w:p>
              </w:tc>
              <w:tc>
                <w:tcPr>
                  <w:tcW w:w="1117" w:type="dxa"/>
                  <w:vMerge w:val="continue"/>
                  <w:vAlign w:val="center"/>
                </w:tcPr>
                <w:p>
                  <w:pPr>
                    <w:widowControl/>
                    <w:numPr>
                      <w:ilvl w:val="255"/>
                      <w:numId w:val="0"/>
                    </w:numPr>
                    <w:jc w:val="center"/>
                    <w:rPr>
                      <w:rFonts w:ascii="宋体" w:hAnsi="宋体" w:cs="宋体"/>
                      <w:sz w:val="18"/>
                      <w:szCs w:val="18"/>
                      <w:highlight w:val="none"/>
                    </w:rPr>
                  </w:pPr>
                </w:p>
              </w:tc>
              <w:tc>
                <w:tcPr>
                  <w:tcW w:w="767" w:type="dxa"/>
                  <w:vMerge w:val="continue"/>
                  <w:vAlign w:val="center"/>
                </w:tcPr>
                <w:p>
                  <w:pPr>
                    <w:widowControl/>
                    <w:numPr>
                      <w:ilvl w:val="255"/>
                      <w:numId w:val="0"/>
                    </w:numPr>
                    <w:jc w:val="center"/>
                    <w:rPr>
                      <w:rFonts w:ascii="宋体" w:hAnsi="宋体" w:cs="宋体"/>
                      <w:sz w:val="18"/>
                      <w:szCs w:val="18"/>
                      <w:highlight w:val="none"/>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挖掘机（带破碎头）</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33</w:t>
                  </w:r>
                  <w:r>
                    <w:rPr>
                      <w:rFonts w:hint="eastAsia" w:ascii="宋体" w:hAnsi="宋体" w:cs="宋体"/>
                      <w:sz w:val="18"/>
                      <w:szCs w:val="18"/>
                      <w:highlight w:val="none"/>
                    </w:rPr>
                    <w:t>0</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p>
              </w:tc>
              <w:tc>
                <w:tcPr>
                  <w:tcW w:w="8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766"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201</w:t>
                  </w:r>
                  <w:r>
                    <w:rPr>
                      <w:rFonts w:hint="eastAsia" w:ascii="宋体" w:hAnsi="宋体" w:cs="宋体"/>
                      <w:sz w:val="18"/>
                      <w:szCs w:val="18"/>
                      <w:highlight w:val="none"/>
                      <w:lang w:val="en-US" w:eastAsia="zh-CN"/>
                    </w:rPr>
                    <w:t>6</w:t>
                  </w:r>
                  <w:r>
                    <w:rPr>
                      <w:rFonts w:hint="eastAsia" w:ascii="宋体" w:hAnsi="宋体" w:cs="宋体"/>
                      <w:sz w:val="18"/>
                      <w:szCs w:val="18"/>
                      <w:highlight w:val="none"/>
                    </w:rPr>
                    <w:t>年1月后</w:t>
                  </w:r>
                </w:p>
              </w:tc>
              <w:tc>
                <w:tcPr>
                  <w:tcW w:w="1084" w:type="dxa"/>
                  <w:vMerge w:val="restart"/>
                  <w:vAlign w:val="center"/>
                </w:tcPr>
                <w:p>
                  <w:pPr>
                    <w:widowControl/>
                    <w:numPr>
                      <w:ilvl w:val="255"/>
                      <w:numId w:val="0"/>
                    </w:numPr>
                    <w:jc w:val="center"/>
                    <w:rPr>
                      <w:rFonts w:ascii="宋体" w:hAnsi="宋体" w:cs="宋体"/>
                      <w:sz w:val="18"/>
                      <w:szCs w:val="18"/>
                      <w:highlight w:val="none"/>
                    </w:rPr>
                  </w:pPr>
                  <w:r>
                    <w:rPr>
                      <w:rFonts w:hint="eastAsia" w:ascii="宋体" w:hAnsi="宋体" w:cs="宋体"/>
                      <w:sz w:val="18"/>
                      <w:szCs w:val="18"/>
                      <w:highlight w:val="none"/>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装载机</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22</w:t>
                  </w:r>
                  <w:r>
                    <w:rPr>
                      <w:rFonts w:hint="eastAsia" w:ascii="宋体" w:hAnsi="宋体" w:cs="宋体"/>
                      <w:sz w:val="18"/>
                      <w:szCs w:val="18"/>
                      <w:highlight w:val="none"/>
                    </w:rPr>
                    <w:t>0型</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3</w:t>
                  </w:r>
                </w:p>
              </w:tc>
              <w:tc>
                <w:tcPr>
                  <w:tcW w:w="1636" w:type="dxa"/>
                  <w:vAlign w:val="center"/>
                </w:tcPr>
                <w:p>
                  <w:pPr>
                    <w:spacing w:line="400" w:lineRule="exact"/>
                    <w:jc w:val="center"/>
                    <w:rPr>
                      <w:rFonts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压路机</w:t>
                  </w:r>
                </w:p>
              </w:tc>
              <w:tc>
                <w:tcPr>
                  <w:tcW w:w="1004" w:type="dxa"/>
                  <w:vAlign w:val="center"/>
                </w:tcPr>
                <w:p>
                  <w:pPr>
                    <w:widowControl/>
                    <w:numPr>
                      <w:ilvl w:val="255"/>
                      <w:numId w:val="0"/>
                    </w:numPr>
                    <w:ind w:left="0" w:leftChars="0" w:firstLine="0" w:firstLineChars="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20T</w:t>
                  </w:r>
                </w:p>
              </w:tc>
              <w:tc>
                <w:tcPr>
                  <w:tcW w:w="913" w:type="dxa"/>
                  <w:vAlign w:val="center"/>
                </w:tcPr>
                <w:p>
                  <w:pPr>
                    <w:widowControl/>
                    <w:numPr>
                      <w:ilvl w:val="255"/>
                      <w:numId w:val="0"/>
                    </w:numPr>
                    <w:ind w:left="0" w:leftChars="0" w:firstLine="0" w:firstLineChars="0"/>
                    <w:jc w:val="center"/>
                    <w:rPr>
                      <w:rFonts w:hint="eastAsia" w:ascii="宋体" w:hAnsi="宋体" w:cs="宋体"/>
                      <w:sz w:val="18"/>
                      <w:szCs w:val="18"/>
                      <w:highlight w:val="none"/>
                      <w:lang w:val="en-US" w:eastAsia="zh-CN"/>
                    </w:rPr>
                  </w:pPr>
                  <w:r>
                    <w:rPr>
                      <w:rFonts w:hint="eastAsia" w:ascii="宋体" w:hAnsi="宋体" w:cs="宋体"/>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cs="宋体"/>
                      <w:sz w:val="18"/>
                      <w:szCs w:val="18"/>
                      <w:highlight w:val="none"/>
                      <w:lang w:val="en-US" w:eastAsia="zh-CN"/>
                    </w:rPr>
                  </w:pPr>
                  <w:r>
                    <w:rPr>
                      <w:rFonts w:hint="eastAsia" w:ascii="宋体" w:hAnsi="宋体" w:cs="宋体"/>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0.5</w:t>
                  </w: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4</w:t>
                  </w:r>
                </w:p>
              </w:tc>
              <w:tc>
                <w:tcPr>
                  <w:tcW w:w="1636" w:type="dxa"/>
                  <w:vAlign w:val="center"/>
                </w:tcPr>
                <w:p>
                  <w:pPr>
                    <w:spacing w:line="400" w:lineRule="exact"/>
                    <w:jc w:val="center"/>
                    <w:rPr>
                      <w:rFonts w:hint="eastAsia"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洒水车</w:t>
                  </w:r>
                </w:p>
              </w:tc>
              <w:tc>
                <w:tcPr>
                  <w:tcW w:w="1004" w:type="dxa"/>
                  <w:vAlign w:val="center"/>
                </w:tcPr>
                <w:p>
                  <w:pPr>
                    <w:spacing w:line="400" w:lineRule="exact"/>
                    <w:jc w:val="center"/>
                    <w:rPr>
                      <w:rFonts w:hint="eastAsia"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10m³</w:t>
                  </w:r>
                </w:p>
              </w:tc>
              <w:tc>
                <w:tcPr>
                  <w:tcW w:w="913" w:type="dxa"/>
                  <w:vAlign w:val="center"/>
                </w:tcPr>
                <w:p>
                  <w:pPr>
                    <w:spacing w:line="400" w:lineRule="exact"/>
                    <w:jc w:val="center"/>
                    <w:rPr>
                      <w:rFonts w:hint="eastAsia"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辆</w:t>
                  </w:r>
                </w:p>
              </w:tc>
              <w:tc>
                <w:tcPr>
                  <w:tcW w:w="900" w:type="dxa"/>
                  <w:vAlign w:val="center"/>
                </w:tcPr>
                <w:p>
                  <w:pPr>
                    <w:spacing w:line="400" w:lineRule="exact"/>
                    <w:jc w:val="center"/>
                    <w:rPr>
                      <w:rFonts w:hint="eastAsia" w:ascii="宋体" w:hAnsi="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bCs/>
                      <w:sz w:val="18"/>
                      <w:szCs w:val="18"/>
                      <w:highlight w:val="none"/>
                    </w:rPr>
                    <w:t>自卸汽车</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15</w:t>
                  </w:r>
                  <w:r>
                    <w:rPr>
                      <w:rFonts w:hint="eastAsia" w:ascii="宋体" w:hAnsi="宋体" w:cs="宋体"/>
                      <w:sz w:val="18"/>
                      <w:szCs w:val="18"/>
                      <w:highlight w:val="none"/>
                    </w:rPr>
                    <w:t>m³</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辆</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6</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发电设备</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30</w:t>
                  </w:r>
                  <w:r>
                    <w:rPr>
                      <w:rFonts w:hint="eastAsia" w:ascii="宋体" w:hAnsi="宋体" w:cs="宋体"/>
                      <w:sz w:val="18"/>
                      <w:szCs w:val="18"/>
                      <w:highlight w:val="none"/>
                    </w:rPr>
                    <w:t>0kw</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color w:val="000000"/>
                      <w:kern w:val="0"/>
                      <w:sz w:val="18"/>
                      <w:szCs w:val="18"/>
                      <w:highlight w:val="none"/>
                      <w:lang w:bidi="ar"/>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7</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移动式混凝土输送泵</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HBT60C</w:t>
                  </w: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bCs/>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8</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bCs/>
                      <w:sz w:val="18"/>
                      <w:szCs w:val="18"/>
                      <w:highlight w:val="none"/>
                    </w:rPr>
                    <w:t>风</w:t>
                  </w:r>
                  <w:r>
                    <w:rPr>
                      <w:rFonts w:hint="eastAsia" w:ascii="宋体" w:hAnsi="宋体" w:cs="宋体"/>
                      <w:bCs/>
                      <w:sz w:val="18"/>
                      <w:szCs w:val="18"/>
                      <w:highlight w:val="none"/>
                    </w:rPr>
                    <w:t>镐</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bCs/>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 xml:space="preserve"> </w:t>
                  </w: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9</w:t>
                  </w:r>
                </w:p>
              </w:tc>
              <w:tc>
                <w:tcPr>
                  <w:tcW w:w="163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电焊机</w:t>
                  </w:r>
                </w:p>
              </w:tc>
              <w:tc>
                <w:tcPr>
                  <w:tcW w:w="1004"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913"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hint="eastAsia" w:ascii="宋体" w:hAnsi="宋体" w:cs="宋体"/>
                      <w:sz w:val="18"/>
                      <w:szCs w:val="18"/>
                      <w:highlight w:val="none"/>
                    </w:rPr>
                    <w:t>套</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10</w:t>
                  </w:r>
                </w:p>
              </w:tc>
              <w:tc>
                <w:tcPr>
                  <w:tcW w:w="1636"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空压机</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1</w:t>
                  </w:r>
                  <w:r>
                    <w:rPr>
                      <w:rFonts w:ascii="宋体" w:hAnsi="宋体" w:cs="宋体"/>
                      <w:color w:val="000000"/>
                      <w:sz w:val="18"/>
                      <w:szCs w:val="18"/>
                      <w:highlight w:val="none"/>
                    </w:rPr>
                    <w:t>4</w:t>
                  </w:r>
                  <w:r>
                    <w:rPr>
                      <w:rFonts w:hint="eastAsia" w:ascii="宋体" w:hAnsi="宋体" w:cs="宋体"/>
                      <w:color w:val="000000"/>
                      <w:sz w:val="18"/>
                      <w:szCs w:val="18"/>
                      <w:highlight w:val="none"/>
                    </w:rPr>
                    <w:t>m³/min</w:t>
                  </w:r>
                </w:p>
              </w:tc>
              <w:tc>
                <w:tcPr>
                  <w:tcW w:w="913"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atLeast"/>
              </w:trPr>
              <w:tc>
                <w:tcPr>
                  <w:tcW w:w="645" w:type="dxa"/>
                  <w:vAlign w:val="center"/>
                </w:tcPr>
                <w:p>
                  <w:pPr>
                    <w:widowControl/>
                    <w:numPr>
                      <w:ilvl w:val="255"/>
                      <w:numId w:val="0"/>
                    </w:numPr>
                    <w:ind w:left="0" w:leftChars="0" w:firstLine="0" w:firstLineChars="0"/>
                    <w:jc w:val="center"/>
                    <w:rPr>
                      <w:rFonts w:hint="default"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11</w:t>
                  </w:r>
                </w:p>
              </w:tc>
              <w:tc>
                <w:tcPr>
                  <w:tcW w:w="1636" w:type="dxa"/>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污泥自卸车</w:t>
                  </w:r>
                </w:p>
              </w:tc>
              <w:tc>
                <w:tcPr>
                  <w:tcW w:w="1004" w:type="dxa"/>
                  <w:vAlign w:val="center"/>
                </w:tcPr>
                <w:p>
                  <w:pPr>
                    <w:widowControl/>
                    <w:jc w:val="center"/>
                    <w:textAlignment w:val="center"/>
                    <w:rPr>
                      <w:rFonts w:ascii="宋体" w:hAnsi="宋体" w:eastAsia="宋体" w:cs="宋体"/>
                      <w:color w:val="000000"/>
                      <w:kern w:val="2"/>
                      <w:sz w:val="18"/>
                      <w:szCs w:val="18"/>
                      <w:highlight w:val="none"/>
                      <w:lang w:val="en-US" w:eastAsia="zh-CN" w:bidi="ar-SA"/>
                    </w:rPr>
                  </w:pPr>
                  <w:r>
                    <w:rPr>
                      <w:rFonts w:ascii="宋体" w:hAnsi="宋体" w:cs="宋体"/>
                      <w:color w:val="000000"/>
                      <w:sz w:val="18"/>
                      <w:szCs w:val="18"/>
                      <w:highlight w:val="none"/>
                    </w:rPr>
                    <w:t>5</w:t>
                  </w:r>
                  <w:r>
                    <w:rPr>
                      <w:rFonts w:hint="eastAsia" w:ascii="宋体" w:hAnsi="宋体" w:cs="宋体"/>
                      <w:color w:val="000000"/>
                      <w:sz w:val="18"/>
                      <w:szCs w:val="18"/>
                      <w:highlight w:val="none"/>
                    </w:rPr>
                    <w:t>m³</w:t>
                  </w:r>
                </w:p>
              </w:tc>
              <w:tc>
                <w:tcPr>
                  <w:tcW w:w="913" w:type="dxa"/>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台</w:t>
                  </w:r>
                </w:p>
              </w:tc>
              <w:tc>
                <w:tcPr>
                  <w:tcW w:w="900" w:type="dxa"/>
                  <w:vAlign w:val="center"/>
                </w:tcPr>
                <w:p>
                  <w:pPr>
                    <w:widowControl/>
                    <w:numPr>
                      <w:ilvl w:val="255"/>
                      <w:numId w:val="0"/>
                    </w:numPr>
                    <w:ind w:left="0" w:leftChars="0" w:firstLine="0" w:firstLineChars="0"/>
                    <w:jc w:val="center"/>
                    <w:rPr>
                      <w:rFonts w:hint="eastAsia" w:ascii="宋体" w:hAnsi="宋体" w:eastAsia="宋体" w:cs="宋体"/>
                      <w:kern w:val="2"/>
                      <w:sz w:val="18"/>
                      <w:szCs w:val="18"/>
                      <w:highlight w:val="none"/>
                      <w:lang w:val="en-US" w:eastAsia="zh-CN" w:bidi="ar-SA"/>
                    </w:rPr>
                  </w:pPr>
                  <w:r>
                    <w:rPr>
                      <w:rFonts w:ascii="宋体" w:hAnsi="宋体" w:cs="宋体"/>
                      <w:sz w:val="18"/>
                      <w:szCs w:val="18"/>
                      <w:highlight w:val="none"/>
                    </w:rPr>
                    <w:t>1</w:t>
                  </w:r>
                </w:p>
              </w:tc>
              <w:tc>
                <w:tcPr>
                  <w:tcW w:w="816"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111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7" w:type="dxa"/>
                  <w:vAlign w:val="center"/>
                </w:tcPr>
                <w:p>
                  <w:pPr>
                    <w:widowControl/>
                    <w:numPr>
                      <w:ilvl w:val="255"/>
                      <w:numId w:val="0"/>
                    </w:numPr>
                    <w:ind w:left="0" w:leftChars="0" w:firstLine="0" w:firstLineChars="0"/>
                    <w:jc w:val="center"/>
                    <w:rPr>
                      <w:rFonts w:ascii="宋体" w:hAnsi="宋体" w:eastAsia="宋体" w:cs="宋体"/>
                      <w:kern w:val="2"/>
                      <w:sz w:val="18"/>
                      <w:szCs w:val="18"/>
                      <w:highlight w:val="none"/>
                      <w:lang w:val="en-US" w:eastAsia="zh-CN" w:bidi="ar-SA"/>
                    </w:rPr>
                  </w:pPr>
                </w:p>
              </w:tc>
              <w:tc>
                <w:tcPr>
                  <w:tcW w:w="766" w:type="dxa"/>
                  <w:vMerge w:val="continue"/>
                  <w:vAlign w:val="center"/>
                </w:tcPr>
                <w:p>
                  <w:pPr>
                    <w:widowControl/>
                    <w:numPr>
                      <w:ilvl w:val="255"/>
                      <w:numId w:val="0"/>
                    </w:numPr>
                    <w:jc w:val="center"/>
                    <w:rPr>
                      <w:rFonts w:ascii="宋体" w:hAnsi="宋体" w:cs="宋体"/>
                      <w:sz w:val="18"/>
                      <w:szCs w:val="18"/>
                      <w:highlight w:val="none"/>
                    </w:rPr>
                  </w:pPr>
                </w:p>
              </w:tc>
              <w:tc>
                <w:tcPr>
                  <w:tcW w:w="1084" w:type="dxa"/>
                  <w:vMerge w:val="continue"/>
                  <w:vAlign w:val="center"/>
                </w:tcPr>
                <w:p>
                  <w:pPr>
                    <w:widowControl/>
                    <w:numPr>
                      <w:ilvl w:val="255"/>
                      <w:numId w:val="0"/>
                    </w:numPr>
                    <w:jc w:val="center"/>
                    <w:rPr>
                      <w:rFonts w:ascii="宋体" w:hAnsi="宋体" w:cs="宋体"/>
                      <w:sz w:val="18"/>
                      <w:szCs w:val="18"/>
                      <w:highlight w:val="none"/>
                    </w:rPr>
                  </w:pPr>
                </w:p>
              </w:tc>
            </w:tr>
          </w:tbl>
          <w:p>
            <w:pPr>
              <w:widowControl/>
              <w:numPr>
                <w:ilvl w:val="255"/>
                <w:numId w:val="0"/>
              </w:numPr>
              <w:jc w:val="center"/>
              <w:rPr>
                <w:rFonts w:ascii="宋体" w:hAnsi="宋体" w:cs="宋体"/>
                <w:kern w:val="0"/>
                <w:sz w:val="18"/>
                <w:szCs w:val="18"/>
                <w:highlight w:val="none"/>
                <w:lang w:bidi="ar"/>
              </w:rPr>
            </w:pPr>
          </w:p>
        </w:tc>
      </w:tr>
    </w:tbl>
    <w:p>
      <w:pPr>
        <w:widowControl/>
        <w:jc w:val="left"/>
        <w:textAlignment w:val="center"/>
        <w:rPr>
          <w:rFonts w:ascii="宋体" w:hAnsi="宋体" w:cs="宋体"/>
          <w:sz w:val="18"/>
          <w:szCs w:val="18"/>
          <w:highlight w:val="none"/>
        </w:rPr>
      </w:pPr>
      <w:r>
        <w:rPr>
          <w:rFonts w:hint="eastAsia"/>
          <w:sz w:val="18"/>
          <w:szCs w:val="18"/>
          <w:highlight w:val="none"/>
        </w:rPr>
        <w:t>注：</w:t>
      </w:r>
      <w:r>
        <w:rPr>
          <w:rFonts w:hint="eastAsia" w:ascii="宋体" w:hAnsi="宋体" w:cs="宋体"/>
          <w:sz w:val="18"/>
          <w:szCs w:val="18"/>
          <w:highlight w:val="none"/>
        </w:rPr>
        <w:t>1、若</w:t>
      </w:r>
      <w:r>
        <w:rPr>
          <w:rFonts w:hint="eastAsia" w:ascii="宋体" w:hAnsi="宋体" w:cs="宋体"/>
          <w:sz w:val="18"/>
          <w:szCs w:val="18"/>
          <w:highlight w:val="none"/>
          <w:lang w:val="en-US" w:eastAsia="zh-CN"/>
        </w:rPr>
        <w:t>四川交投</w:t>
      </w:r>
      <w:r>
        <w:rPr>
          <w:rFonts w:hint="eastAsia" w:ascii="宋体" w:hAnsi="宋体" w:cs="宋体"/>
          <w:sz w:val="18"/>
          <w:szCs w:val="18"/>
          <w:highlight w:val="none"/>
        </w:rPr>
        <w:t>认为投标人配备的机械设备不能满足现场施工的需要，或不能保证工程质量和进度时，招标人有权要求投标人增加。</w:t>
      </w:r>
    </w:p>
    <w:p>
      <w:pPr>
        <w:pStyle w:val="7"/>
        <w:numPr>
          <w:ilvl w:val="0"/>
          <w:numId w:val="1"/>
        </w:numPr>
        <w:ind w:firstLine="0"/>
        <w:jc w:val="left"/>
        <w:rPr>
          <w:rFonts w:ascii="宋体" w:hAnsi="宋体" w:eastAsia="宋体" w:cs="宋体"/>
          <w:sz w:val="18"/>
          <w:szCs w:val="18"/>
          <w:highlight w:val="none"/>
        </w:rPr>
      </w:pPr>
      <w:r>
        <w:rPr>
          <w:rFonts w:hint="eastAsia" w:ascii="宋体" w:hAnsi="宋体" w:eastAsia="宋体" w:cs="宋体"/>
          <w:sz w:val="18"/>
          <w:szCs w:val="18"/>
          <w:highlight w:val="none"/>
        </w:rPr>
        <w:t>本表中的总数量为承包人中标后向发包人承诺的投入最低设备要求，并以书面形式纳入合同附件。</w:t>
      </w:r>
    </w:p>
    <w:p>
      <w:pPr>
        <w:pStyle w:val="7"/>
        <w:numPr>
          <w:ilvl w:val="0"/>
          <w:numId w:val="1"/>
        </w:numPr>
        <w:ind w:firstLine="0"/>
        <w:jc w:val="left"/>
        <w:rPr>
          <w:rFonts w:ascii="宋体" w:hAnsi="宋体" w:eastAsia="宋体" w:cs="宋体"/>
          <w:sz w:val="18"/>
          <w:szCs w:val="18"/>
          <w:highlight w:val="none"/>
        </w:rPr>
      </w:pPr>
      <w:r>
        <w:rPr>
          <w:rFonts w:hint="eastAsia" w:ascii="宋体" w:hAnsi="宋体" w:eastAsia="宋体" w:cs="宋体"/>
          <w:sz w:val="18"/>
          <w:szCs w:val="18"/>
          <w:highlight w:val="none"/>
        </w:rPr>
        <w:t>自有设备需提供购买发票或公证机关出具的公证书。</w:t>
      </w:r>
    </w:p>
    <w:p>
      <w:pPr>
        <w:pStyle w:val="9"/>
        <w:tabs>
          <w:tab w:val="right" w:leader="dot" w:pos="8306"/>
        </w:tabs>
        <w:jc w:val="center"/>
        <w:outlineLvl w:val="0"/>
        <w:rPr>
          <w:rFonts w:ascii="等线" w:hAnsi="等线" w:eastAsia="等线" w:cs="等线"/>
          <w:b/>
          <w:bCs/>
          <w:sz w:val="48"/>
          <w:szCs w:val="48"/>
          <w:highlight w:val="none"/>
          <w:lang w:bidi="zh-CN"/>
        </w:rPr>
        <w:sectPr>
          <w:pgSz w:w="11911" w:h="16838"/>
          <w:pgMar w:top="1599" w:right="1179" w:bottom="1298" w:left="1100" w:header="0" w:footer="567" w:gutter="0"/>
          <w:pgNumType w:fmt="decimal"/>
          <w:cols w:space="720" w:num="1"/>
          <w:docGrid w:linePitch="1"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A273"/>
    <w:multiLevelType w:val="singleLevel"/>
    <w:tmpl w:val="3FDCA27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9065D"/>
    <w:rsid w:val="3C19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w:basedOn w:val="1"/>
    <w:next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正文2"/>
    <w:basedOn w:val="1"/>
    <w:next w:val="1"/>
    <w:qFormat/>
    <w:uiPriority w:val="0"/>
    <w:pPr>
      <w:ind w:firstLine="570"/>
    </w:pPr>
    <w:rPr>
      <w:rFonts w:ascii="仿宋" w:hAnsi="仿宋" w:eastAsia="仿宋"/>
      <w:kern w:val="0"/>
      <w:sz w:val="20"/>
    </w:rPr>
  </w:style>
  <w:style w:type="paragraph" w:customStyle="1" w:styleId="8">
    <w:name w:val="Table Paragraph"/>
    <w:basedOn w:val="1"/>
    <w:qFormat/>
    <w:uiPriority w:val="1"/>
    <w:rPr>
      <w:rFonts w:ascii="宋体" w:hAnsi="宋体" w:cs="宋体"/>
      <w:lang w:val="zh-CN" w:bidi="zh-CN"/>
    </w:rPr>
  </w:style>
  <w:style w:type="paragraph" w:customStyle="1" w:styleId="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2021-02-05T09:26:00Z</dcterms:created>
  <dc:creator>钟明娟</dc:creator>
  <cp:lastModifiedBy>钟明娟</cp:lastModifiedBy>
  <dcterms:modified xsi:type="dcterms:W3CDTF">2021-02-05T09:26:55Z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