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附表一</w:t>
      </w:r>
    </w:p>
    <w:p>
      <w:pPr>
        <w:pStyle w:val="9"/>
        <w:ind w:firstLine="0"/>
        <w:rPr>
          <w:rFonts w:cs="仿宋"/>
          <w:b/>
          <w:bCs/>
          <w:color w:val="auto"/>
          <w:sz w:val="32"/>
          <w:szCs w:val="32"/>
          <w:highlight w:val="none"/>
        </w:rPr>
      </w:pPr>
    </w:p>
    <w:p>
      <w:pPr>
        <w:pStyle w:val="9"/>
        <w:ind w:firstLine="0"/>
        <w:jc w:val="center"/>
        <w:rPr>
          <w:rFonts w:ascii="宋体" w:hAnsi="宋体" w:eastAsia="宋体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  <w:t>钢筋加工及运输</w:t>
      </w:r>
      <w:r>
        <w:rPr>
          <w:rFonts w:hint="eastAsia" w:ascii="宋体" w:hAnsi="宋体" w:eastAsia="宋体" w:cs="仿宋"/>
          <w:b/>
          <w:bCs/>
          <w:color w:val="auto"/>
          <w:sz w:val="30"/>
          <w:szCs w:val="30"/>
          <w:highlight w:val="none"/>
        </w:rPr>
        <w:t>劳务合作一览表</w:t>
      </w:r>
    </w:p>
    <w:tbl>
      <w:tblPr>
        <w:tblStyle w:val="8"/>
        <w:tblW w:w="921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7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21" w:type="dxa"/>
            <w:vAlign w:val="center"/>
          </w:tcPr>
          <w:p>
            <w:pPr>
              <w:pStyle w:val="9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临建内容</w:t>
            </w:r>
          </w:p>
        </w:tc>
        <w:tc>
          <w:tcPr>
            <w:tcW w:w="7193" w:type="dxa"/>
            <w:vAlign w:val="center"/>
          </w:tcPr>
          <w:p>
            <w:pPr>
              <w:pStyle w:val="9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2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2"/>
                <w:highlight w:val="none"/>
              </w:rPr>
              <w:t>乐山至西昌高速公路马边至昭觉段S2合同段</w:t>
            </w:r>
          </w:p>
          <w:p>
            <w:pPr>
              <w:pStyle w:val="9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2"/>
                <w:highlight w:val="none"/>
              </w:rPr>
              <w:t>S2-1-1钢筋加工及运输劳务合作项目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21" w:type="dxa"/>
            <w:vAlign w:val="center"/>
          </w:tcPr>
          <w:p>
            <w:pPr>
              <w:pStyle w:val="9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位置</w:t>
            </w:r>
          </w:p>
        </w:tc>
        <w:tc>
          <w:tcPr>
            <w:tcW w:w="7193" w:type="dxa"/>
            <w:vAlign w:val="center"/>
          </w:tcPr>
          <w:p>
            <w:pPr>
              <w:pStyle w:val="9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四川省凉山彝族自治州美姑县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9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分管范围</w:t>
            </w:r>
          </w:p>
        </w:tc>
        <w:tc>
          <w:tcPr>
            <w:tcW w:w="7193" w:type="dxa"/>
          </w:tcPr>
          <w:p>
            <w:pPr>
              <w:pStyle w:val="9"/>
              <w:jc w:val="left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ZK88+984～103+097.938段【基伟电站大桥、美姑1#大桥、美姑2#大桥、美姑3#大桥、美姑4#特大桥、美姑互通（15座匝道桥）、毕莫园隧道、吉曲隧道、河曲隧道、牛洛隧道】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21" w:type="dxa"/>
            <w:vAlign w:val="center"/>
          </w:tcPr>
          <w:p>
            <w:pPr>
              <w:pStyle w:val="9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总钢材加工量</w:t>
            </w:r>
          </w:p>
        </w:tc>
        <w:tc>
          <w:tcPr>
            <w:tcW w:w="7193" w:type="dxa"/>
            <w:vAlign w:val="center"/>
          </w:tcPr>
          <w:p>
            <w:pPr>
              <w:pStyle w:val="9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约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6.5万吨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021" w:type="dxa"/>
            <w:vAlign w:val="center"/>
          </w:tcPr>
          <w:p>
            <w:pPr>
              <w:pStyle w:val="9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平均运距（km）</w:t>
            </w:r>
          </w:p>
        </w:tc>
        <w:tc>
          <w:tcPr>
            <w:tcW w:w="7193" w:type="dxa"/>
          </w:tcPr>
          <w:p>
            <w:pPr>
              <w:pStyle w:val="9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6km（投标人自行踏勘与加权计算，运费采用包干单价招标）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21" w:type="dxa"/>
            <w:vAlign w:val="center"/>
          </w:tcPr>
          <w:p>
            <w:pPr>
              <w:pStyle w:val="9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年均产量</w:t>
            </w:r>
          </w:p>
        </w:tc>
        <w:tc>
          <w:tcPr>
            <w:tcW w:w="7193" w:type="dxa"/>
            <w:vAlign w:val="center"/>
          </w:tcPr>
          <w:p>
            <w:pPr>
              <w:pStyle w:val="9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1.45万吨/年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</w:tcPr>
          <w:p>
            <w:pPr>
              <w:pStyle w:val="9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钢筋加工厂使用总时长</w:t>
            </w:r>
          </w:p>
        </w:tc>
        <w:tc>
          <w:tcPr>
            <w:tcW w:w="7193" w:type="dxa"/>
            <w:vAlign w:val="center"/>
          </w:tcPr>
          <w:p>
            <w:pPr>
              <w:pStyle w:val="9"/>
              <w:ind w:firstLine="0"/>
              <w:jc w:val="center"/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预计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  <w:t>40个月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9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运输车辆要求</w:t>
            </w:r>
          </w:p>
        </w:tc>
        <w:tc>
          <w:tcPr>
            <w:tcW w:w="7193" w:type="dxa"/>
          </w:tcPr>
          <w:p>
            <w:pPr>
              <w:pStyle w:val="9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高峰期运输车辆数：4</w:t>
            </w:r>
          </w:p>
          <w:p>
            <w:pPr>
              <w:pStyle w:val="9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非高峰期运输车辆数：2</w:t>
            </w:r>
          </w:p>
          <w:p>
            <w:pPr>
              <w:pStyle w:val="9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满足各工点使用要求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21" w:type="dxa"/>
            <w:vAlign w:val="center"/>
          </w:tcPr>
          <w:p>
            <w:pPr>
              <w:pStyle w:val="9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用水情况</w:t>
            </w:r>
          </w:p>
        </w:tc>
        <w:tc>
          <w:tcPr>
            <w:tcW w:w="7193" w:type="dxa"/>
            <w:vAlign w:val="center"/>
          </w:tcPr>
          <w:p>
            <w:pPr>
              <w:pStyle w:val="9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生活用水：自来水或者井水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9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建筑用材要求</w:t>
            </w:r>
          </w:p>
        </w:tc>
        <w:tc>
          <w:tcPr>
            <w:tcW w:w="7193" w:type="dxa"/>
          </w:tcPr>
          <w:p>
            <w:pPr>
              <w:pStyle w:val="9"/>
              <w:ind w:firstLine="0"/>
              <w:jc w:val="left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房屋：项目部已提供。</w:t>
            </w:r>
          </w:p>
          <w:p>
            <w:pPr>
              <w:pStyle w:val="9"/>
              <w:ind w:firstLine="0"/>
              <w:jc w:val="left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场地硬化：项目部已提供，使用、维护、维修由投标人负责。</w:t>
            </w:r>
          </w:p>
          <w:p>
            <w:pPr>
              <w:pStyle w:val="9"/>
              <w:ind w:firstLine="0"/>
              <w:jc w:val="left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厂房：项目部已提供。</w:t>
            </w:r>
          </w:p>
          <w:p>
            <w:pPr>
              <w:pStyle w:val="9"/>
              <w:ind w:firstLine="0"/>
              <w:jc w:val="left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绿化：项目部已提供。</w:t>
            </w:r>
          </w:p>
          <w:p>
            <w:pPr>
              <w:pStyle w:val="9"/>
              <w:ind w:firstLine="0"/>
              <w:jc w:val="left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标识标语：项目部已提供，使用、维护、维修由投标人负责。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214" w:type="dxa"/>
            <w:gridSpan w:val="2"/>
          </w:tcPr>
          <w:p>
            <w:pPr>
              <w:pStyle w:val="9"/>
              <w:ind w:firstLine="0"/>
              <w:jc w:val="left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说明：</w:t>
            </w:r>
          </w:p>
          <w:p>
            <w:pPr>
              <w:pStyle w:val="9"/>
              <w:ind w:firstLine="480" w:firstLineChars="200"/>
              <w:jc w:val="left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相关水电费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及接驳费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由投标人承担，且投标人应自备发电设备，遇停电，应发电生产，相关费用包含在投标单价中。</w:t>
            </w:r>
          </w:p>
        </w:tc>
      </w:tr>
    </w:tbl>
    <w:p>
      <w:pPr>
        <w:jc w:val="left"/>
        <w:rPr>
          <w:rFonts w:ascii="宋体" w:hAnsi="宋体" w:cs="宋体"/>
          <w:b/>
          <w:color w:val="auto"/>
          <w:sz w:val="28"/>
          <w:szCs w:val="28"/>
          <w:highlight w:val="none"/>
        </w:rPr>
      </w:pPr>
    </w:p>
    <w:p>
      <w:pPr>
        <w:jc w:val="left"/>
        <w:rPr>
          <w:rFonts w:ascii="宋体" w:hAnsi="宋体" w:cs="宋体"/>
          <w:b/>
          <w:color w:val="auto"/>
          <w:sz w:val="28"/>
          <w:szCs w:val="28"/>
          <w:highlight w:val="none"/>
        </w:rPr>
      </w:pPr>
    </w:p>
    <w:p>
      <w:pPr>
        <w:pStyle w:val="9"/>
        <w:rPr>
          <w:color w:val="auto"/>
          <w:highlight w:val="none"/>
        </w:rPr>
      </w:pPr>
    </w:p>
    <w:p>
      <w:pPr>
        <w:pStyle w:val="9"/>
        <w:rPr>
          <w:color w:val="auto"/>
          <w:highlight w:val="none"/>
        </w:rPr>
      </w:pPr>
    </w:p>
    <w:p>
      <w:pPr>
        <w:pStyle w:val="9"/>
        <w:rPr>
          <w:color w:val="auto"/>
          <w:highlight w:val="none"/>
        </w:rPr>
      </w:pPr>
    </w:p>
    <w:p>
      <w:pPr>
        <w:pStyle w:val="9"/>
        <w:rPr>
          <w:color w:val="auto"/>
          <w:highlight w:val="none"/>
        </w:rPr>
      </w:pPr>
    </w:p>
    <w:p>
      <w:pPr>
        <w:pStyle w:val="9"/>
        <w:rPr>
          <w:color w:val="auto"/>
          <w:highlight w:val="none"/>
        </w:rPr>
      </w:pPr>
    </w:p>
    <w:p>
      <w:pPr>
        <w:pStyle w:val="9"/>
        <w:rPr>
          <w:color w:val="auto"/>
          <w:highlight w:val="none"/>
        </w:rPr>
      </w:pPr>
    </w:p>
    <w:p>
      <w:pPr>
        <w:pStyle w:val="9"/>
        <w:rPr>
          <w:color w:val="auto"/>
          <w:highlight w:val="none"/>
        </w:rPr>
      </w:pPr>
    </w:p>
    <w:p>
      <w:pPr>
        <w:jc w:val="left"/>
        <w:rPr>
          <w:rFonts w:ascii="宋体" w:hAnsi="宋体" w:cs="宋体"/>
          <w:b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>
      <w:pPr>
        <w:pStyle w:val="9"/>
        <w:rPr>
          <w:rFonts w:hint="eastAsia"/>
          <w:color w:val="auto"/>
          <w:highlight w:val="none"/>
        </w:rPr>
      </w:pPr>
    </w:p>
    <w:p>
      <w:pPr>
        <w:pStyle w:val="9"/>
        <w:rPr>
          <w:color w:val="auto"/>
          <w:highlight w:val="none"/>
        </w:rPr>
      </w:pPr>
    </w:p>
    <w:tbl>
      <w:tblPr>
        <w:tblStyle w:val="7"/>
        <w:tblW w:w="83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2056"/>
        <w:gridCol w:w="1701"/>
        <w:gridCol w:w="1134"/>
        <w:gridCol w:w="2232"/>
        <w:gridCol w:w="1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7" w:type="dxa"/>
          <w:trHeight w:val="663" w:hRule="atLeast"/>
          <w:jc w:val="center"/>
        </w:trPr>
        <w:tc>
          <w:tcPr>
            <w:tcW w:w="81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rPr>
                <w:color w:val="auto"/>
                <w:highlight w:val="none"/>
              </w:rPr>
            </w:pPr>
          </w:p>
          <w:p>
            <w:pPr>
              <w:pStyle w:val="9"/>
              <w:rPr>
                <w:color w:val="auto"/>
                <w:highlight w:val="none"/>
              </w:rPr>
            </w:pPr>
          </w:p>
          <w:p>
            <w:pPr>
              <w:pStyle w:val="9"/>
              <w:rPr>
                <w:color w:val="auto"/>
                <w:highlight w:val="none"/>
              </w:rPr>
            </w:pPr>
          </w:p>
          <w:p>
            <w:pPr>
              <w:pStyle w:val="9"/>
              <w:ind w:firstLine="0"/>
              <w:jc w:val="left"/>
              <w:rPr>
                <w:rFonts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附表二</w:t>
            </w:r>
          </w:p>
          <w:p>
            <w:pPr>
              <w:pStyle w:val="9"/>
              <w:rPr>
                <w:color w:val="auto"/>
                <w:highlight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Style w:val="10"/>
                <w:rFonts w:hint="default"/>
                <w:color w:val="auto"/>
                <w:sz w:val="24"/>
                <w:szCs w:val="24"/>
                <w:highlight w:val="none"/>
              </w:rPr>
              <w:t>投入人员明细表（最低要求）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工 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工作任务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人数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负责人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生产管理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安全员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安全管理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有一个及以上类似施工安全管理经验，具有安全员C级资格证书。</w:t>
            </w:r>
          </w:p>
        </w:tc>
      </w:tr>
    </w:tbl>
    <w:p>
      <w:pPr>
        <w:spacing w:line="360" w:lineRule="auto"/>
        <w:ind w:left="126" w:leftChars="60" w:firstLine="360" w:firstLineChars="200"/>
        <w:rPr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 xml:space="preserve">注：1、本表为主要人员的最低要求，投标人应根据施工需要或招标人的要求增加相关专业技术人员。 </w:t>
      </w:r>
    </w:p>
    <w:p>
      <w:pPr>
        <w:spacing w:line="360" w:lineRule="auto"/>
        <w:ind w:left="840" w:leftChars="400"/>
        <w:rPr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pStyle w:val="9"/>
        <w:spacing w:line="360" w:lineRule="auto"/>
        <w:ind w:left="126" w:leftChars="60" w:firstLine="720" w:firstLineChars="400"/>
        <w:jc w:val="left"/>
        <w:rPr>
          <w:rFonts w:ascii="Times New Roman" w:hAnsi="Times New Roman" w:eastAsia="宋体"/>
          <w:color w:val="auto"/>
          <w:kern w:val="2"/>
          <w:sz w:val="18"/>
          <w:szCs w:val="18"/>
          <w:highlight w:val="none"/>
        </w:rPr>
      </w:pPr>
      <w:r>
        <w:rPr>
          <w:rFonts w:hint="eastAsia" w:ascii="Times New Roman" w:hAnsi="Times New Roman" w:eastAsia="宋体"/>
          <w:color w:val="auto"/>
          <w:kern w:val="2"/>
          <w:sz w:val="18"/>
          <w:szCs w:val="18"/>
          <w:highlight w:val="none"/>
        </w:rPr>
        <w:t>3、相关管理人员及技术人员必须在岗，有特殊情况离岗必须向项目部请假并得到批准。</w:t>
      </w:r>
    </w:p>
    <w:p>
      <w:pPr>
        <w:pStyle w:val="9"/>
        <w:ind w:firstLine="0"/>
        <w:jc w:val="left"/>
        <w:rPr>
          <w:rFonts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pStyle w:val="9"/>
        <w:ind w:firstLine="0"/>
        <w:jc w:val="left"/>
        <w:rPr>
          <w:rFonts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魏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47DF6"/>
    <w:rsid w:val="0324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uiPriority w:val="0"/>
    <w:pPr>
      <w:spacing w:after="120"/>
      <w:ind w:left="420" w:leftChars="200"/>
    </w:pPr>
    <w:rPr>
      <w:szCs w:val="24"/>
    </w:rPr>
  </w:style>
  <w:style w:type="paragraph" w:styleId="4">
    <w:name w:val="Body Text"/>
    <w:basedOn w:val="1"/>
    <w:next w:val="1"/>
    <w:uiPriority w:val="0"/>
    <w:pPr>
      <w:spacing w:after="120"/>
    </w:pPr>
    <w:rPr>
      <w:szCs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2"/>
    <w:basedOn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2021-01-21T09:33:00Z</dcterms:created>
  <dc:creator>钟明娟</dc:creator>
  <cp:lastModifiedBy>钟明娟</cp:lastModifiedBy>
  <dcterms:modified xsi:type="dcterms:W3CDTF">2021-01-21T09:33:36Z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