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ascii="宋体" w:hAnsi="宋体" w:eastAsia="宋体"/>
          <w:b/>
          <w:bCs/>
          <w:sz w:val="28"/>
          <w:szCs w:val="28"/>
        </w:rPr>
      </w:pPr>
      <w:r>
        <w:rPr>
          <w:rFonts w:hint="eastAsia" w:ascii="宋体" w:hAnsi="宋体" w:eastAsia="宋体"/>
          <w:b/>
          <w:bCs/>
          <w:sz w:val="28"/>
          <w:szCs w:val="28"/>
        </w:rPr>
        <w:t>附表一：</w:t>
      </w:r>
    </w:p>
    <w:p>
      <w:pPr>
        <w:pStyle w:val="2"/>
        <w:ind w:firstLine="0"/>
        <w:rPr>
          <w:rFonts w:ascii="Times New Roman" w:hAnsi="Times New Roman"/>
          <w:sz w:val="24"/>
          <w:szCs w:val="24"/>
        </w:rPr>
      </w:pPr>
    </w:p>
    <w:p>
      <w:pPr>
        <w:widowControl/>
        <w:spacing w:line="360" w:lineRule="auto"/>
        <w:jc w:val="center"/>
        <w:textAlignment w:val="center"/>
        <w:rPr>
          <w:rFonts w:ascii="宋体" w:hAnsi="宋体" w:cs="微软雅黑"/>
          <w:b/>
          <w:kern w:val="0"/>
          <w:sz w:val="24"/>
          <w:szCs w:val="24"/>
          <w:lang w:bidi="ar"/>
        </w:rPr>
      </w:pPr>
      <w:r>
        <w:rPr>
          <w:rFonts w:hint="eastAsia" w:ascii="宋体" w:hAnsi="宋体" w:cs="微软雅黑"/>
          <w:b/>
          <w:kern w:val="0"/>
          <w:sz w:val="24"/>
          <w:szCs w:val="24"/>
          <w:lang w:bidi="ar"/>
        </w:rPr>
        <w:t>成都至乐山高速公路扩容建设项目E2-SG</w:t>
      </w:r>
      <w:r>
        <w:rPr>
          <w:rFonts w:hint="eastAsia" w:ascii="宋体" w:hAnsi="宋体" w:cs="微软雅黑"/>
          <w:b/>
          <w:kern w:val="0"/>
          <w:sz w:val="24"/>
          <w:szCs w:val="24"/>
          <w:lang w:val="en-US" w:eastAsia="zh-CN" w:bidi="ar"/>
        </w:rPr>
        <w:t>2</w:t>
      </w:r>
      <w:r>
        <w:rPr>
          <w:rFonts w:hint="eastAsia" w:ascii="宋体" w:hAnsi="宋体" w:cs="微软雅黑"/>
          <w:b/>
          <w:kern w:val="0"/>
          <w:sz w:val="24"/>
          <w:szCs w:val="24"/>
          <w:lang w:bidi="ar"/>
        </w:rPr>
        <w:t>标路面工程</w:t>
      </w:r>
    </w:p>
    <w:p>
      <w:pPr>
        <w:widowControl/>
        <w:spacing w:line="360" w:lineRule="auto"/>
        <w:jc w:val="center"/>
        <w:textAlignment w:val="center"/>
        <w:rPr>
          <w:rFonts w:ascii="宋体" w:hAnsi="宋体" w:cs="微软雅黑"/>
          <w:b/>
          <w:kern w:val="0"/>
          <w:sz w:val="24"/>
          <w:szCs w:val="24"/>
          <w:lang w:bidi="ar"/>
        </w:rPr>
      </w:pPr>
      <w:r>
        <w:rPr>
          <w:rFonts w:hint="eastAsia" w:ascii="宋体" w:hAnsi="宋体" w:cs="微软雅黑"/>
          <w:b/>
          <w:kern w:val="0"/>
          <w:sz w:val="24"/>
          <w:szCs w:val="24"/>
          <w:lang w:bidi="ar"/>
        </w:rPr>
        <w:t>E2-SG</w:t>
      </w:r>
      <w:r>
        <w:rPr>
          <w:rFonts w:hint="eastAsia" w:ascii="宋体" w:hAnsi="宋体" w:cs="微软雅黑"/>
          <w:b/>
          <w:kern w:val="0"/>
          <w:sz w:val="24"/>
          <w:szCs w:val="24"/>
          <w:lang w:val="en-US" w:eastAsia="zh-CN" w:bidi="ar"/>
        </w:rPr>
        <w:t>2</w:t>
      </w:r>
      <w:r>
        <w:rPr>
          <w:rFonts w:hint="eastAsia" w:ascii="宋体" w:hAnsi="宋体" w:cs="微软雅黑"/>
          <w:b/>
          <w:kern w:val="0"/>
          <w:sz w:val="24"/>
          <w:szCs w:val="24"/>
          <w:lang w:bidi="ar"/>
        </w:rPr>
        <w:t>-LM协作项目标段划分一览表</w:t>
      </w:r>
    </w:p>
    <w:tbl>
      <w:tblPr>
        <w:tblStyle w:val="6"/>
        <w:tblW w:w="9938" w:type="dxa"/>
        <w:tblInd w:w="0" w:type="dxa"/>
        <w:tblLayout w:type="fixed"/>
        <w:tblCellMar>
          <w:top w:w="0" w:type="dxa"/>
          <w:left w:w="0" w:type="dxa"/>
          <w:bottom w:w="0" w:type="dxa"/>
          <w:right w:w="0" w:type="dxa"/>
        </w:tblCellMar>
      </w:tblPr>
      <w:tblGrid>
        <w:gridCol w:w="481"/>
        <w:gridCol w:w="888"/>
        <w:gridCol w:w="1440"/>
        <w:gridCol w:w="3018"/>
        <w:gridCol w:w="1701"/>
        <w:gridCol w:w="1701"/>
        <w:gridCol w:w="709"/>
      </w:tblGrid>
      <w:tr>
        <w:tblPrEx>
          <w:tblLayout w:type="fixed"/>
          <w:tblCellMar>
            <w:top w:w="0" w:type="dxa"/>
            <w:left w:w="0" w:type="dxa"/>
            <w:bottom w:w="0" w:type="dxa"/>
            <w:right w:w="0" w:type="dxa"/>
          </w:tblCellMar>
        </w:tblPrEx>
        <w:trPr>
          <w:trHeight w:val="747" w:hRule="atLeast"/>
        </w:trPr>
        <w:tc>
          <w:tcPr>
            <w:tcW w:w="481"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sz w:val="18"/>
                <w:szCs w:val="18"/>
              </w:rPr>
            </w:pPr>
            <w:r>
              <w:rPr>
                <w:rFonts w:hint="eastAsia" w:ascii="宋体" w:hAnsi="宋体" w:cs="宋体"/>
                <w:b/>
                <w:kern w:val="0"/>
                <w:sz w:val="18"/>
                <w:szCs w:val="18"/>
                <w:lang w:bidi="ar"/>
              </w:rPr>
              <w:t>序号</w:t>
            </w:r>
          </w:p>
        </w:tc>
        <w:tc>
          <w:tcPr>
            <w:tcW w:w="88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sz w:val="18"/>
                <w:szCs w:val="18"/>
              </w:rPr>
            </w:pPr>
            <w:r>
              <w:rPr>
                <w:rFonts w:hint="eastAsia" w:ascii="宋体" w:hAnsi="宋体" w:cs="宋体"/>
                <w:b/>
                <w:kern w:val="0"/>
                <w:sz w:val="18"/>
                <w:szCs w:val="18"/>
                <w:lang w:bidi="ar"/>
              </w:rPr>
              <w:t>分段名称</w:t>
            </w:r>
          </w:p>
        </w:tc>
        <w:tc>
          <w:tcPr>
            <w:tcW w:w="144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sz w:val="18"/>
                <w:szCs w:val="18"/>
              </w:rPr>
            </w:pPr>
            <w:r>
              <w:rPr>
                <w:rFonts w:hint="eastAsia" w:ascii="宋体" w:hAnsi="宋体" w:cs="宋体"/>
                <w:b/>
                <w:kern w:val="0"/>
                <w:sz w:val="18"/>
                <w:szCs w:val="18"/>
                <w:lang w:bidi="ar"/>
              </w:rPr>
              <w:t>起止桩号</w:t>
            </w:r>
          </w:p>
        </w:tc>
        <w:tc>
          <w:tcPr>
            <w:tcW w:w="301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sz w:val="18"/>
                <w:szCs w:val="18"/>
              </w:rPr>
            </w:pPr>
            <w:r>
              <w:rPr>
                <w:rFonts w:hint="eastAsia" w:ascii="宋体" w:hAnsi="宋体" w:cs="宋体"/>
                <w:b/>
                <w:kern w:val="0"/>
                <w:sz w:val="18"/>
                <w:szCs w:val="18"/>
                <w:lang w:bidi="ar"/>
              </w:rPr>
              <w:t>主要协作内容</w:t>
            </w:r>
          </w:p>
        </w:tc>
        <w:tc>
          <w:tcPr>
            <w:tcW w:w="170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sz w:val="18"/>
                <w:szCs w:val="18"/>
              </w:rPr>
            </w:pPr>
            <w:r>
              <w:rPr>
                <w:rFonts w:hint="eastAsia" w:ascii="宋体" w:hAnsi="宋体" w:cs="宋体"/>
                <w:b/>
                <w:kern w:val="0"/>
                <w:sz w:val="18"/>
                <w:szCs w:val="18"/>
                <w:lang w:bidi="ar"/>
              </w:rPr>
              <w:t>重难点工程及质量控制关键点工程</w:t>
            </w:r>
          </w:p>
        </w:tc>
        <w:tc>
          <w:tcPr>
            <w:tcW w:w="1701"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line="360" w:lineRule="auto"/>
              <w:jc w:val="center"/>
              <w:textAlignment w:val="center"/>
              <w:rPr>
                <w:rFonts w:ascii="宋体" w:hAnsi="宋体" w:cs="宋体"/>
                <w:b/>
                <w:sz w:val="18"/>
                <w:szCs w:val="18"/>
              </w:rPr>
            </w:pPr>
            <w:r>
              <w:rPr>
                <w:rFonts w:hint="eastAsia" w:ascii="宋体" w:hAnsi="宋体" w:cs="宋体"/>
                <w:b/>
                <w:sz w:val="18"/>
                <w:szCs w:val="18"/>
              </w:rPr>
              <w:t>拌合场站名称</w:t>
            </w:r>
          </w:p>
        </w:tc>
        <w:tc>
          <w:tcPr>
            <w:tcW w:w="709"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line="360" w:lineRule="auto"/>
              <w:jc w:val="center"/>
              <w:textAlignment w:val="center"/>
              <w:rPr>
                <w:rFonts w:hint="eastAsia" w:ascii="宋体" w:hAnsi="宋体" w:cs="宋体"/>
                <w:b/>
                <w:kern w:val="0"/>
                <w:sz w:val="18"/>
                <w:szCs w:val="18"/>
                <w:lang w:bidi="ar"/>
              </w:rPr>
            </w:pPr>
            <w:r>
              <w:rPr>
                <w:rFonts w:hint="eastAsia" w:ascii="宋体" w:hAnsi="宋体" w:cs="宋体"/>
                <w:b/>
                <w:kern w:val="0"/>
                <w:sz w:val="18"/>
                <w:szCs w:val="18"/>
                <w:lang w:bidi="ar"/>
              </w:rPr>
              <w:t>备注</w:t>
            </w:r>
          </w:p>
        </w:tc>
      </w:tr>
      <w:tr>
        <w:tblPrEx>
          <w:tblLayout w:type="fixed"/>
          <w:tblCellMar>
            <w:top w:w="0" w:type="dxa"/>
            <w:left w:w="0" w:type="dxa"/>
            <w:bottom w:w="0" w:type="dxa"/>
            <w:right w:w="0" w:type="dxa"/>
          </w:tblCellMar>
        </w:tblPrEx>
        <w:trPr>
          <w:trHeight w:val="2647" w:hRule="exact"/>
        </w:trPr>
        <w:tc>
          <w:tcPr>
            <w:tcW w:w="48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sz w:val="18"/>
                <w:szCs w:val="18"/>
                <w:lang w:eastAsia="zh-CN"/>
              </w:rPr>
            </w:pPr>
            <w:r>
              <w:rPr>
                <w:rFonts w:ascii="宋体" w:hAnsi="宋体" w:cs="宋体"/>
                <w:kern w:val="0"/>
                <w:sz w:val="18"/>
                <w:szCs w:val="18"/>
                <w:lang w:bidi="ar"/>
              </w:rPr>
              <w:t>E2-</w:t>
            </w:r>
            <w:r>
              <w:rPr>
                <w:rFonts w:hint="eastAsia" w:ascii="宋体" w:hAnsi="宋体" w:cs="宋体"/>
                <w:kern w:val="0"/>
                <w:sz w:val="18"/>
                <w:szCs w:val="18"/>
                <w:lang w:bidi="ar"/>
              </w:rPr>
              <w:t>SG</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w:t>
            </w:r>
            <w:r>
              <w:rPr>
                <w:rFonts w:ascii="宋体" w:hAnsi="宋体" w:cs="宋体"/>
                <w:kern w:val="0"/>
                <w:sz w:val="18"/>
                <w:szCs w:val="18"/>
                <w:lang w:bidi="ar"/>
              </w:rPr>
              <w:t>LM</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K</w:t>
            </w:r>
            <w:r>
              <w:rPr>
                <w:rFonts w:hint="eastAsia" w:ascii="宋体" w:hAnsi="宋体" w:cs="宋体"/>
                <w:kern w:val="0"/>
                <w:sz w:val="18"/>
                <w:szCs w:val="18"/>
                <w:lang w:val="en-US" w:eastAsia="zh-CN" w:bidi="ar"/>
              </w:rPr>
              <w:t>97</w:t>
            </w:r>
            <w:r>
              <w:rPr>
                <w:rFonts w:ascii="宋体" w:hAnsi="宋体" w:cs="宋体"/>
                <w:kern w:val="0"/>
                <w:sz w:val="18"/>
                <w:szCs w:val="18"/>
                <w:lang w:bidi="ar"/>
              </w:rPr>
              <w:t>+</w:t>
            </w:r>
            <w:r>
              <w:rPr>
                <w:rFonts w:hint="eastAsia" w:ascii="宋体" w:hAnsi="宋体" w:cs="宋体"/>
                <w:kern w:val="0"/>
                <w:sz w:val="18"/>
                <w:szCs w:val="18"/>
                <w:lang w:val="en-US" w:eastAsia="zh-CN" w:bidi="ar"/>
              </w:rPr>
              <w:t>510</w:t>
            </w:r>
            <w:r>
              <w:rPr>
                <w:rFonts w:ascii="宋体" w:hAnsi="宋体" w:cs="宋体"/>
                <w:kern w:val="0"/>
                <w:sz w:val="18"/>
                <w:szCs w:val="18"/>
                <w:lang w:bidi="ar"/>
              </w:rPr>
              <w:t>-K</w:t>
            </w:r>
            <w:r>
              <w:rPr>
                <w:rFonts w:hint="eastAsia" w:ascii="宋体" w:hAnsi="宋体" w:cs="宋体"/>
                <w:kern w:val="0"/>
                <w:sz w:val="18"/>
                <w:szCs w:val="18"/>
                <w:lang w:val="en-US" w:eastAsia="zh-CN" w:bidi="ar"/>
              </w:rPr>
              <w:t>128</w:t>
            </w:r>
            <w:r>
              <w:rPr>
                <w:rFonts w:ascii="宋体" w:hAnsi="宋体" w:cs="宋体"/>
                <w:kern w:val="0"/>
                <w:sz w:val="18"/>
                <w:szCs w:val="18"/>
                <w:lang w:bidi="ar"/>
              </w:rPr>
              <w:t>+5</w:t>
            </w:r>
            <w:r>
              <w:rPr>
                <w:rFonts w:hint="eastAsia" w:ascii="宋体" w:hAnsi="宋体" w:cs="宋体"/>
                <w:kern w:val="0"/>
                <w:sz w:val="18"/>
                <w:szCs w:val="18"/>
                <w:lang w:val="en-US" w:eastAsia="zh-CN" w:bidi="ar"/>
              </w:rPr>
              <w:t>6</w:t>
            </w:r>
            <w:r>
              <w:rPr>
                <w:rFonts w:hint="eastAsia" w:ascii="宋体" w:hAnsi="宋体" w:cs="宋体"/>
                <w:sz w:val="18"/>
                <w:szCs w:val="18"/>
                <w:lang w:eastAsia="zh-CN"/>
              </w:rPr>
              <w:t>1及乐山城区过境复线段</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textAlignment w:val="center"/>
              <w:rPr>
                <w:rFonts w:hint="eastAsia" w:ascii="宋体" w:hAnsi="宋体" w:eastAsia="宋体" w:cs="宋体"/>
                <w:sz w:val="18"/>
                <w:szCs w:val="18"/>
                <w:lang w:eastAsia="zh-CN"/>
              </w:rPr>
            </w:pPr>
            <w:r>
              <w:rPr>
                <w:rFonts w:hint="eastAsia" w:ascii="宋体" w:hAnsi="宋体" w:cs="宋体"/>
                <w:sz w:val="18"/>
                <w:szCs w:val="18"/>
              </w:rPr>
              <w:t>水稳料后场拌和的人工、机械（除</w:t>
            </w:r>
            <w:r>
              <w:rPr>
                <w:rFonts w:hint="eastAsia" w:ascii="宋体" w:hAnsi="宋体" w:cs="宋体"/>
                <w:sz w:val="18"/>
                <w:szCs w:val="18"/>
                <w:lang w:eastAsia="zh-CN"/>
              </w:rPr>
              <w:t>拌合楼设备外</w:t>
            </w:r>
            <w:r>
              <w:rPr>
                <w:rFonts w:hint="eastAsia" w:ascii="宋体" w:hAnsi="宋体" w:cs="宋体"/>
                <w:sz w:val="18"/>
                <w:szCs w:val="18"/>
              </w:rPr>
              <w:t>），前场摊铺碾压成型、养护等相关设备、劳务组织；油面前场摊铺碾压成型等</w:t>
            </w:r>
            <w:r>
              <w:rPr>
                <w:rFonts w:hint="eastAsia" w:ascii="宋体" w:hAnsi="宋体" w:cs="宋体"/>
                <w:sz w:val="18"/>
                <w:szCs w:val="18"/>
                <w:lang w:eastAsia="zh-CN"/>
              </w:rPr>
              <w:t>的</w:t>
            </w:r>
            <w:r>
              <w:rPr>
                <w:rFonts w:hint="eastAsia" w:ascii="宋体" w:hAnsi="宋体" w:cs="宋体"/>
                <w:sz w:val="18"/>
                <w:szCs w:val="18"/>
              </w:rPr>
              <w:t>劳务组织</w:t>
            </w:r>
            <w:r>
              <w:rPr>
                <w:rFonts w:hint="eastAsia" w:ascii="宋体" w:hAnsi="宋体" w:cs="宋体"/>
                <w:sz w:val="18"/>
                <w:szCs w:val="18"/>
                <w:lang w:eastAsia="zh-CN"/>
              </w:rPr>
              <w:t>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cs="宋体"/>
                <w:sz w:val="18"/>
                <w:szCs w:val="18"/>
              </w:rPr>
            </w:pPr>
            <w:r>
              <w:rPr>
                <w:rFonts w:hint="eastAsia" w:ascii="宋体" w:hAnsi="宋体" w:cs="宋体"/>
                <w:kern w:val="0"/>
                <w:sz w:val="18"/>
                <w:szCs w:val="18"/>
                <w:lang w:bidi="ar"/>
              </w:rPr>
              <w:t>拼宽</w:t>
            </w:r>
            <w:r>
              <w:rPr>
                <w:rFonts w:ascii="宋体" w:hAnsi="宋体" w:cs="宋体"/>
                <w:kern w:val="0"/>
                <w:sz w:val="18"/>
                <w:szCs w:val="18"/>
                <w:lang w:bidi="ar"/>
              </w:rPr>
              <w:t>路面</w:t>
            </w:r>
            <w:r>
              <w:rPr>
                <w:rFonts w:hint="eastAsia" w:ascii="宋体" w:hAnsi="宋体" w:cs="宋体"/>
                <w:kern w:val="0"/>
                <w:sz w:val="18"/>
                <w:szCs w:val="18"/>
                <w:lang w:bidi="ar"/>
              </w:rPr>
              <w:t>及</w:t>
            </w:r>
            <w:r>
              <w:rPr>
                <w:rFonts w:ascii="宋体" w:hAnsi="宋体" w:cs="宋体"/>
                <w:kern w:val="0"/>
                <w:sz w:val="18"/>
                <w:szCs w:val="18"/>
                <w:lang w:bidi="ar"/>
              </w:rPr>
              <w:t>原路</w:t>
            </w:r>
            <w:r>
              <w:rPr>
                <w:rFonts w:hint="eastAsia" w:ascii="宋体" w:hAnsi="宋体" w:cs="宋体"/>
                <w:kern w:val="0"/>
                <w:sz w:val="18"/>
                <w:szCs w:val="18"/>
                <w:lang w:bidi="ar"/>
              </w:rPr>
              <w:t>处置、路面平整度控制、改扩建交通组织模式下施工组织</w:t>
            </w:r>
          </w:p>
        </w:tc>
        <w:tc>
          <w:tcPr>
            <w:tcW w:w="17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360" w:lineRule="auto"/>
              <w:jc w:val="center"/>
              <w:rPr>
                <w:rFonts w:ascii="宋体" w:hAnsi="宋体" w:cs="宋体"/>
                <w:sz w:val="18"/>
                <w:szCs w:val="18"/>
              </w:rPr>
            </w:pPr>
            <w:r>
              <w:rPr>
                <w:rFonts w:hint="eastAsia" w:ascii="宋体" w:hAnsi="宋体" w:cs="宋体"/>
                <w:sz w:val="18"/>
                <w:szCs w:val="18"/>
                <w:lang w:eastAsia="zh-CN"/>
              </w:rPr>
              <w:t>夹江</w:t>
            </w:r>
            <w:r>
              <w:rPr>
                <w:rFonts w:hint="eastAsia" w:ascii="宋体" w:hAnsi="宋体" w:cs="宋体"/>
                <w:sz w:val="18"/>
                <w:szCs w:val="18"/>
              </w:rPr>
              <w:t>水稳站</w:t>
            </w:r>
            <w:r>
              <w:rPr>
                <w:rFonts w:hint="eastAsia" w:ascii="宋体" w:hAnsi="宋体" w:cs="宋体"/>
                <w:sz w:val="18"/>
                <w:szCs w:val="18"/>
                <w:lang w:eastAsia="zh-CN"/>
              </w:rPr>
              <w:t>、热拌站；杨湾</w:t>
            </w:r>
            <w:r>
              <w:rPr>
                <w:rFonts w:hint="eastAsia" w:ascii="宋体" w:hAnsi="宋体" w:cs="宋体"/>
                <w:sz w:val="18"/>
                <w:szCs w:val="18"/>
              </w:rPr>
              <w:t>水稳站</w:t>
            </w:r>
            <w:r>
              <w:rPr>
                <w:rFonts w:ascii="宋体" w:hAnsi="宋体" w:cs="宋体"/>
                <w:sz w:val="18"/>
                <w:szCs w:val="18"/>
              </w:rPr>
              <w:t>、</w:t>
            </w:r>
            <w:r>
              <w:rPr>
                <w:rFonts w:hint="eastAsia" w:ascii="宋体" w:hAnsi="宋体" w:cs="宋体"/>
                <w:sz w:val="18"/>
                <w:szCs w:val="18"/>
              </w:rPr>
              <w:t>热拌站</w:t>
            </w:r>
          </w:p>
        </w:tc>
        <w:tc>
          <w:tcPr>
            <w:tcW w:w="7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360" w:lineRule="auto"/>
              <w:jc w:val="center"/>
              <w:rPr>
                <w:rFonts w:hint="eastAsia" w:ascii="宋体" w:hAnsi="宋体" w:cs="宋体"/>
                <w:sz w:val="18"/>
                <w:szCs w:val="18"/>
              </w:rPr>
            </w:pPr>
          </w:p>
        </w:tc>
      </w:tr>
    </w:tbl>
    <w:p>
      <w:pPr>
        <w:pStyle w:val="2"/>
        <w:ind w:firstLine="0"/>
      </w:pPr>
    </w:p>
    <w:p>
      <w:pPr>
        <w:rPr>
          <w:color w:val="auto"/>
          <w:highlight w:val="none"/>
        </w:rPr>
      </w:pPr>
      <w:r>
        <w:rPr>
          <w:rFonts w:hint="eastAsia"/>
        </w:rPr>
        <w:t>备注</w:t>
      </w:r>
      <w:r>
        <w:rPr>
          <w:color w:val="auto"/>
          <w:highlight w:val="none"/>
        </w:rPr>
        <w:t>：</w:t>
      </w:r>
    </w:p>
    <w:p>
      <w:pPr>
        <w:numPr>
          <w:ilvl w:val="0"/>
          <w:numId w:val="1"/>
        </w:numPr>
        <w:spacing w:line="360" w:lineRule="auto"/>
        <w:ind w:firstLine="632" w:firstLineChars="300"/>
        <w:rPr>
          <w:rFonts w:hint="eastAsia" w:ascii="宋体" w:hAnsi="宋体" w:cs="宋体"/>
          <w:b/>
          <w:bCs/>
          <w:color w:val="auto"/>
          <w:highlight w:val="none"/>
        </w:rPr>
      </w:pPr>
      <w:r>
        <w:rPr>
          <w:rFonts w:hint="eastAsia" w:ascii="宋体" w:hAnsi="宋体" w:cs="宋体"/>
          <w:b/>
          <w:bCs/>
          <w:color w:val="auto"/>
          <w:highlight w:val="none"/>
        </w:rPr>
        <w:t>本项目部分段落为原有高速公路改扩建，部分段落为新建，新建和改扩建清单和限价有一定的差别，其中主线K</w:t>
      </w:r>
      <w:r>
        <w:rPr>
          <w:rFonts w:hint="eastAsia" w:ascii="宋体" w:hAnsi="宋体" w:cs="宋体"/>
          <w:b/>
          <w:bCs/>
          <w:color w:val="auto"/>
          <w:highlight w:val="none"/>
          <w:lang w:val="en-US" w:eastAsia="zh-CN"/>
        </w:rPr>
        <w:t>97</w:t>
      </w:r>
      <w:r>
        <w:rPr>
          <w:rFonts w:hint="eastAsia" w:ascii="宋体" w:hAnsi="宋体" w:cs="宋体"/>
          <w:b/>
          <w:bCs/>
          <w:color w:val="auto"/>
          <w:highlight w:val="none"/>
        </w:rPr>
        <w:t>+</w:t>
      </w:r>
      <w:r>
        <w:rPr>
          <w:rFonts w:hint="eastAsia" w:ascii="宋体" w:hAnsi="宋体" w:cs="宋体"/>
          <w:b/>
          <w:bCs/>
          <w:color w:val="auto"/>
          <w:highlight w:val="none"/>
          <w:lang w:val="en-US" w:eastAsia="zh-CN"/>
        </w:rPr>
        <w:t>51</w:t>
      </w:r>
      <w:r>
        <w:rPr>
          <w:rFonts w:hint="eastAsia" w:ascii="宋体" w:hAnsi="宋体" w:cs="宋体"/>
          <w:b/>
          <w:bCs/>
          <w:color w:val="auto"/>
          <w:highlight w:val="none"/>
        </w:rPr>
        <w:t>0-K</w:t>
      </w:r>
      <w:r>
        <w:rPr>
          <w:rFonts w:hint="eastAsia" w:ascii="宋体" w:hAnsi="宋体" w:cs="宋体"/>
          <w:b/>
          <w:bCs/>
          <w:color w:val="auto"/>
          <w:highlight w:val="none"/>
          <w:lang w:val="en-US" w:eastAsia="zh-CN"/>
        </w:rPr>
        <w:t>12</w:t>
      </w:r>
      <w:r>
        <w:rPr>
          <w:rFonts w:hint="eastAsia" w:ascii="宋体" w:hAnsi="宋体" w:cs="宋体"/>
          <w:b/>
          <w:bCs/>
          <w:color w:val="auto"/>
          <w:highlight w:val="none"/>
        </w:rPr>
        <w:t>8+</w:t>
      </w:r>
      <w:r>
        <w:rPr>
          <w:rFonts w:hint="eastAsia" w:ascii="宋体" w:hAnsi="宋体" w:cs="宋体"/>
          <w:b/>
          <w:bCs/>
          <w:color w:val="auto"/>
          <w:highlight w:val="none"/>
          <w:lang w:val="en-US" w:eastAsia="zh-CN"/>
        </w:rPr>
        <w:t>561</w:t>
      </w:r>
      <w:r>
        <w:rPr>
          <w:rFonts w:hint="eastAsia" w:ascii="宋体" w:hAnsi="宋体" w:cs="宋体"/>
          <w:b/>
          <w:bCs/>
          <w:color w:val="auto"/>
          <w:highlight w:val="none"/>
        </w:rPr>
        <w:t>、</w:t>
      </w:r>
      <w:r>
        <w:rPr>
          <w:rFonts w:hint="eastAsia" w:ascii="宋体" w:hAnsi="宋体" w:cs="宋体"/>
          <w:b/>
          <w:bCs/>
          <w:color w:val="auto"/>
          <w:highlight w:val="none"/>
          <w:lang w:eastAsia="zh-CN"/>
        </w:rPr>
        <w:t>夹江</w:t>
      </w:r>
      <w:r>
        <w:rPr>
          <w:rFonts w:hint="eastAsia" w:ascii="宋体" w:hAnsi="宋体" w:cs="宋体"/>
          <w:b/>
          <w:bCs/>
          <w:color w:val="auto"/>
          <w:highlight w:val="none"/>
        </w:rPr>
        <w:t>互通、</w:t>
      </w:r>
      <w:r>
        <w:rPr>
          <w:rFonts w:hint="eastAsia" w:ascii="宋体" w:hAnsi="宋体" w:cs="宋体"/>
          <w:b/>
          <w:bCs/>
          <w:color w:val="auto"/>
          <w:highlight w:val="none"/>
          <w:lang w:eastAsia="zh-CN"/>
        </w:rPr>
        <w:t>定慧</w:t>
      </w:r>
      <w:r>
        <w:rPr>
          <w:rFonts w:hint="eastAsia" w:ascii="宋体" w:hAnsi="宋体" w:cs="宋体"/>
          <w:b/>
          <w:bCs/>
          <w:color w:val="auto"/>
          <w:highlight w:val="none"/>
        </w:rPr>
        <w:t>互通靠主线侧拼宽为改扩建，</w:t>
      </w:r>
      <w:r>
        <w:rPr>
          <w:rFonts w:hint="eastAsia" w:ascii="宋体" w:hAnsi="宋体" w:cs="宋体"/>
          <w:b/>
          <w:bCs/>
          <w:color w:val="auto"/>
          <w:highlight w:val="none"/>
          <w:lang w:eastAsia="zh-CN"/>
        </w:rPr>
        <w:t>乐山过境复线、新建互通匝道及连接线均</w:t>
      </w:r>
      <w:r>
        <w:rPr>
          <w:rFonts w:hint="eastAsia" w:ascii="宋体" w:hAnsi="宋体" w:cs="宋体"/>
          <w:b/>
          <w:bCs/>
          <w:color w:val="auto"/>
          <w:highlight w:val="none"/>
        </w:rPr>
        <w:t>为</w:t>
      </w:r>
      <w:r>
        <w:rPr>
          <w:rFonts w:hint="eastAsia" w:ascii="宋体" w:hAnsi="宋体" w:cs="宋体"/>
          <w:b/>
          <w:bCs/>
          <w:color w:val="auto"/>
          <w:highlight w:val="none"/>
          <w:lang w:val="en-US" w:eastAsia="zh-CN"/>
        </w:rPr>
        <w:t>新建</w:t>
      </w:r>
      <w:r>
        <w:rPr>
          <w:rFonts w:hint="eastAsia" w:ascii="宋体" w:hAnsi="宋体" w:cs="宋体"/>
          <w:b/>
          <w:bCs/>
          <w:color w:val="auto"/>
          <w:highlight w:val="none"/>
        </w:rPr>
        <w:t>工程。</w:t>
      </w:r>
    </w:p>
    <w:p>
      <w:pPr>
        <w:numPr>
          <w:ilvl w:val="0"/>
          <w:numId w:val="1"/>
        </w:numPr>
        <w:spacing w:line="360" w:lineRule="auto"/>
        <w:ind w:firstLine="630" w:firstLineChars="300"/>
        <w:rPr>
          <w:rFonts w:hint="eastAsia" w:ascii="宋体" w:hAnsi="宋体" w:cs="宋体"/>
        </w:rPr>
      </w:pPr>
      <w:r>
        <w:rPr>
          <w:rFonts w:hint="eastAsia" w:ascii="宋体" w:hAnsi="宋体" w:cs="宋体"/>
        </w:rPr>
        <w:t>水稳铺筑施工须采用钢钎+钢边模的施工工艺，找平钢线技术标准按滑模找平标准实施控制。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6"/>
        <w:tblW w:w="9520" w:type="dxa"/>
        <w:tblInd w:w="0" w:type="dxa"/>
        <w:tblLayout w:type="fixed"/>
        <w:tblCellMar>
          <w:top w:w="0" w:type="dxa"/>
          <w:left w:w="0" w:type="dxa"/>
          <w:bottom w:w="0" w:type="dxa"/>
          <w:right w:w="0" w:type="dxa"/>
        </w:tblCellMar>
      </w:tblPr>
      <w:tblGrid>
        <w:gridCol w:w="907"/>
        <w:gridCol w:w="2720"/>
        <w:gridCol w:w="2200"/>
        <w:gridCol w:w="1559"/>
        <w:gridCol w:w="2134"/>
      </w:tblGrid>
      <w:tr>
        <w:tblPrEx>
          <w:tblLayout w:type="fixed"/>
          <w:tblCellMar>
            <w:top w:w="0" w:type="dxa"/>
            <w:left w:w="0" w:type="dxa"/>
            <w:bottom w:w="0" w:type="dxa"/>
            <w:right w:w="0" w:type="dxa"/>
          </w:tblCellMar>
        </w:tblPrEx>
        <w:trPr>
          <w:trHeight w:val="1037" w:hRule="atLeast"/>
        </w:trPr>
        <w:tc>
          <w:tcPr>
            <w:tcW w:w="9520" w:type="dxa"/>
            <w:gridSpan w:val="5"/>
            <w:tcBorders>
              <w:bottom w:val="single" w:color="000000" w:sz="4" w:space="0"/>
            </w:tcBorders>
            <w:tcMar>
              <w:top w:w="15" w:type="dxa"/>
              <w:left w:w="15" w:type="dxa"/>
              <w:right w:w="15" w:type="dxa"/>
            </w:tcMar>
            <w:vAlign w:val="center"/>
          </w:tcPr>
          <w:p>
            <w:pPr>
              <w:widowControl/>
              <w:textAlignment w:val="center"/>
              <w:rPr>
                <w:rFonts w:hint="eastAsia" w:ascii="宋体" w:hAnsi="宋体" w:cs="宋体"/>
                <w:b/>
                <w:color w:val="auto"/>
                <w:kern w:val="0"/>
                <w:sz w:val="28"/>
                <w:szCs w:val="28"/>
                <w:highlight w:val="none"/>
                <w:lang w:bidi="ar"/>
              </w:rPr>
            </w:pPr>
            <w:r>
              <w:rPr>
                <w:rFonts w:hint="eastAsia" w:ascii="宋体" w:hAnsi="宋体" w:cs="宋体"/>
                <w:b/>
                <w:kern w:val="0"/>
                <w:sz w:val="28"/>
                <w:szCs w:val="28"/>
                <w:lang w:bidi="ar"/>
              </w:rPr>
              <w:t>附表二：</w:t>
            </w:r>
          </w:p>
          <w:p>
            <w:pPr>
              <w:widowControl/>
              <w:jc w:val="center"/>
              <w:textAlignment w:val="center"/>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成都至乐山高速公路扩容建设项目E2-SG</w:t>
            </w:r>
            <w:r>
              <w:rPr>
                <w:rFonts w:hint="eastAsia" w:ascii="宋体" w:hAnsi="宋体" w:cs="宋体"/>
                <w:b/>
                <w:color w:val="auto"/>
                <w:kern w:val="0"/>
                <w:sz w:val="24"/>
                <w:szCs w:val="24"/>
                <w:highlight w:val="none"/>
                <w:lang w:val="en-US" w:eastAsia="zh-CN" w:bidi="ar"/>
              </w:rPr>
              <w:t>2</w:t>
            </w:r>
            <w:r>
              <w:rPr>
                <w:rFonts w:hint="eastAsia" w:ascii="宋体" w:hAnsi="宋体" w:cs="宋体"/>
                <w:b/>
                <w:color w:val="auto"/>
                <w:kern w:val="0"/>
                <w:sz w:val="24"/>
                <w:szCs w:val="24"/>
                <w:highlight w:val="none"/>
                <w:lang w:bidi="ar"/>
              </w:rPr>
              <w:t>标路面工程</w:t>
            </w:r>
          </w:p>
          <w:p>
            <w:pPr>
              <w:widowControl/>
              <w:jc w:val="center"/>
              <w:textAlignment w:val="center"/>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拟投入管理人员要求一览表（投标最低要求）</w:t>
            </w:r>
          </w:p>
          <w:p>
            <w:pPr>
              <w:widowControl/>
              <w:jc w:val="center"/>
              <w:textAlignment w:val="center"/>
              <w:rPr>
                <w:rFonts w:hint="eastAsia" w:ascii="宋体" w:hAnsi="宋体" w:cs="宋体"/>
                <w:b/>
                <w:sz w:val="28"/>
                <w:szCs w:val="28"/>
              </w:rPr>
            </w:pPr>
            <w:r>
              <w:rPr>
                <w:rFonts w:hint="eastAsia" w:ascii="宋体" w:hAnsi="宋体" w:cs="宋体"/>
                <w:b/>
                <w:color w:val="auto"/>
                <w:kern w:val="0"/>
                <w:sz w:val="24"/>
                <w:szCs w:val="24"/>
                <w:highlight w:val="none"/>
                <w:lang w:bidi="ar"/>
              </w:rPr>
              <w:t>（E2</w:t>
            </w:r>
            <w:r>
              <w:rPr>
                <w:rFonts w:ascii="宋体" w:hAnsi="宋体" w:cs="宋体"/>
                <w:b/>
                <w:color w:val="auto"/>
                <w:kern w:val="0"/>
                <w:sz w:val="24"/>
                <w:szCs w:val="24"/>
                <w:highlight w:val="none"/>
                <w:lang w:bidi="ar"/>
              </w:rPr>
              <w:t>-</w:t>
            </w:r>
            <w:r>
              <w:rPr>
                <w:rFonts w:hint="eastAsia" w:ascii="宋体" w:hAnsi="宋体" w:cs="宋体"/>
                <w:b/>
                <w:color w:val="auto"/>
                <w:kern w:val="0"/>
                <w:sz w:val="24"/>
                <w:szCs w:val="24"/>
                <w:highlight w:val="none"/>
                <w:lang w:bidi="ar"/>
              </w:rPr>
              <w:t>SG</w:t>
            </w:r>
            <w:r>
              <w:rPr>
                <w:rFonts w:hint="eastAsia" w:ascii="宋体" w:hAnsi="宋体" w:cs="宋体"/>
                <w:b/>
                <w:color w:val="auto"/>
                <w:kern w:val="0"/>
                <w:sz w:val="24"/>
                <w:szCs w:val="24"/>
                <w:highlight w:val="none"/>
                <w:lang w:val="en-US" w:eastAsia="zh-CN" w:bidi="ar"/>
              </w:rPr>
              <w:t>2</w:t>
            </w:r>
            <w:r>
              <w:rPr>
                <w:rFonts w:ascii="宋体" w:hAnsi="宋体" w:cs="宋体"/>
                <w:b/>
                <w:color w:val="auto"/>
                <w:kern w:val="0"/>
                <w:sz w:val="24"/>
                <w:szCs w:val="24"/>
                <w:highlight w:val="none"/>
                <w:lang w:bidi="ar"/>
              </w:rPr>
              <w:t>-</w:t>
            </w:r>
            <w:r>
              <w:rPr>
                <w:rFonts w:hint="eastAsia" w:ascii="宋体" w:hAnsi="宋体" w:cs="宋体"/>
                <w:b/>
                <w:color w:val="auto"/>
                <w:kern w:val="0"/>
                <w:sz w:val="24"/>
                <w:szCs w:val="24"/>
                <w:highlight w:val="none"/>
                <w:lang w:bidi="ar"/>
              </w:rPr>
              <w:t>LM标段适用）</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工 种</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80" w:firstLineChars="100"/>
              <w:jc w:val="center"/>
              <w:textAlignment w:val="center"/>
              <w:rPr>
                <w:rFonts w:hint="eastAsia" w:ascii="宋体" w:hAnsi="宋体" w:cs="宋体"/>
                <w:sz w:val="18"/>
                <w:szCs w:val="18"/>
              </w:rPr>
            </w:pPr>
            <w:r>
              <w:rPr>
                <w:rFonts w:hint="eastAsia" w:ascii="宋体" w:hAnsi="宋体" w:cs="宋体"/>
                <w:kern w:val="0"/>
                <w:sz w:val="18"/>
                <w:szCs w:val="18"/>
                <w:lang w:bidi="ar"/>
              </w:rPr>
              <w:t>工作任务</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80" w:firstLineChars="100"/>
              <w:jc w:val="center"/>
              <w:textAlignment w:val="center"/>
              <w:rPr>
                <w:rFonts w:hint="eastAsia" w:ascii="宋体" w:hAnsi="宋体" w:cs="宋体"/>
                <w:sz w:val="18"/>
                <w:szCs w:val="18"/>
              </w:rPr>
            </w:pPr>
            <w:r>
              <w:rPr>
                <w:rFonts w:hint="eastAsia" w:ascii="宋体" w:hAnsi="宋体" w:cs="宋体"/>
                <w:kern w:val="0"/>
                <w:sz w:val="18"/>
                <w:szCs w:val="18"/>
                <w:lang w:bidi="ar"/>
              </w:rPr>
              <w:t>人数</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80" w:firstLineChars="100"/>
              <w:jc w:val="center"/>
              <w:textAlignment w:val="center"/>
              <w:rPr>
                <w:rFonts w:hint="eastAsia" w:ascii="宋体" w:hAnsi="宋体" w:cs="宋体"/>
                <w:sz w:val="18"/>
                <w:szCs w:val="18"/>
              </w:rPr>
            </w:pPr>
            <w:r>
              <w:rPr>
                <w:rFonts w:hint="eastAsia" w:ascii="宋体" w:hAnsi="宋体" w:cs="宋体"/>
                <w:kern w:val="0"/>
                <w:sz w:val="18"/>
                <w:szCs w:val="18"/>
                <w:lang w:bidi="ar"/>
              </w:rPr>
              <w:t>备注</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项目负责人</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牵头负责项目总体工作</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18"/>
                <w:szCs w:val="18"/>
              </w:rPr>
            </w:pPr>
            <w:r>
              <w:rPr>
                <w:rFonts w:hint="eastAsia" w:ascii="宋体" w:hAnsi="宋体" w:cs="宋体"/>
                <w:sz w:val="18"/>
                <w:szCs w:val="18"/>
              </w:rPr>
              <w:t>工程师（</w:t>
            </w:r>
            <w:r>
              <w:rPr>
                <w:rFonts w:hint="eastAsia" w:ascii="宋体" w:hAnsi="宋体" w:cs="宋体"/>
                <w:sz w:val="18"/>
                <w:szCs w:val="18"/>
                <w:lang w:val="en-US" w:eastAsia="zh-CN"/>
              </w:rPr>
              <w:t>公路工程或市政道路</w:t>
            </w:r>
            <w:r>
              <w:rPr>
                <w:rFonts w:hint="eastAsia" w:ascii="宋体" w:hAnsi="宋体" w:cs="宋体"/>
                <w:sz w:val="18"/>
                <w:szCs w:val="18"/>
              </w:rPr>
              <w:t>相关专业）</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技术负责人</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协助项目负责人负责项目进度、质量工作</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18"/>
                <w:szCs w:val="18"/>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高速公路路面工程施工经验</w:t>
            </w:r>
          </w:p>
        </w:tc>
      </w:tr>
      <w:tr>
        <w:tblPrEx>
          <w:tblLayout w:type="fixed"/>
          <w:tblCellMar>
            <w:top w:w="0" w:type="dxa"/>
            <w:left w:w="0" w:type="dxa"/>
            <w:bottom w:w="0" w:type="dxa"/>
            <w:right w:w="0" w:type="dxa"/>
          </w:tblCellMar>
        </w:tblPrEx>
        <w:trPr>
          <w:trHeight w:val="9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施工员</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协助项目负责人负责现场进度、质量</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内业</w:t>
            </w:r>
            <w:r>
              <w:rPr>
                <w:rFonts w:hint="eastAsia" w:ascii="宋体" w:hAnsi="宋体" w:cs="宋体"/>
                <w:kern w:val="0"/>
                <w:sz w:val="18"/>
                <w:szCs w:val="18"/>
                <w:lang w:bidi="ar"/>
              </w:rPr>
              <w:t>工作</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具有高速公路路面工程施工经验</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4</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安全员</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协助项目负责人负责安全管理工作</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 w:val="18"/>
                <w:szCs w:val="18"/>
              </w:rPr>
            </w:pPr>
            <w:r>
              <w:rPr>
                <w:rFonts w:hint="eastAsia" w:ascii="宋体" w:hAnsi="宋体" w:cs="宋体"/>
                <w:sz w:val="18"/>
                <w:szCs w:val="18"/>
              </w:rPr>
              <w:t>持主管部门颁发的安全</w:t>
            </w:r>
            <w:r>
              <w:rPr>
                <w:rFonts w:ascii="宋体" w:hAnsi="宋体" w:cs="宋体"/>
                <w:sz w:val="18"/>
                <w:szCs w:val="18"/>
              </w:rPr>
              <w:t>C证</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val="en-US" w:eastAsia="zh-CN" w:bidi="ar"/>
              </w:rPr>
              <w:t>5</w:t>
            </w:r>
          </w:p>
        </w:tc>
        <w:tc>
          <w:tcPr>
            <w:tcW w:w="2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测量员</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负责</w:t>
            </w:r>
            <w:r>
              <w:rPr>
                <w:rFonts w:ascii="宋体" w:hAnsi="宋体" w:cs="宋体"/>
                <w:kern w:val="0"/>
                <w:sz w:val="18"/>
                <w:szCs w:val="18"/>
                <w:lang w:bidi="ar"/>
              </w:rPr>
              <w:t>实施测量工作</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1076" w:hRule="atLeast"/>
        </w:trPr>
        <w:tc>
          <w:tcPr>
            <w:tcW w:w="9520" w:type="dxa"/>
            <w:gridSpan w:val="5"/>
            <w:tcBorders>
              <w:top w:val="nil"/>
              <w:left w:val="nil"/>
              <w:bottom w:val="nil"/>
              <w:right w:val="nil"/>
            </w:tcBorders>
            <w:tcMar>
              <w:top w:w="15" w:type="dxa"/>
              <w:left w:w="15" w:type="dxa"/>
              <w:right w:w="15" w:type="dxa"/>
            </w:tcMar>
            <w:vAlign w:val="center"/>
          </w:tcPr>
          <w:p>
            <w:pPr>
              <w:widowControl/>
              <w:numPr>
                <w:ilvl w:val="0"/>
                <w:numId w:val="2"/>
              </w:numPr>
              <w:jc w:val="left"/>
              <w:textAlignment w:val="center"/>
              <w:rPr>
                <w:rFonts w:hint="eastAsia"/>
              </w:rPr>
            </w:pPr>
            <w:r>
              <w:rPr>
                <w:rFonts w:hint="eastAsia"/>
              </w:rPr>
              <w:t>本表为</w:t>
            </w:r>
            <w:r>
              <w:rPr>
                <w:rFonts w:hint="eastAsia"/>
                <w:lang w:eastAsia="zh-CN"/>
              </w:rPr>
              <w:t>（水稳</w:t>
            </w:r>
            <w:r>
              <w:rPr>
                <w:rFonts w:hint="eastAsia"/>
                <w:lang w:val="en-US" w:eastAsia="zh-CN"/>
              </w:rPr>
              <w:t>2个作业班组、沥青路面2个作业班组</w:t>
            </w:r>
            <w:r>
              <w:rPr>
                <w:rFonts w:hint="eastAsia"/>
                <w:lang w:eastAsia="zh-CN"/>
              </w:rPr>
              <w:t>）</w:t>
            </w:r>
            <w:r>
              <w:rPr>
                <w:rFonts w:hint="eastAsia"/>
              </w:rPr>
              <w:t>主要管理人员的投标最低要求，投标人应根据施工需要或招标人的要求在此基础上增加相关专业技术人员和</w:t>
            </w:r>
            <w:r>
              <w:t>安全人员</w:t>
            </w:r>
            <w:r>
              <w:rPr>
                <w:rFonts w:hint="eastAsia"/>
              </w:rPr>
              <w:t>，</w:t>
            </w:r>
            <w:r>
              <w:t>且不得</w:t>
            </w:r>
            <w:r>
              <w:rPr>
                <w:rFonts w:hint="eastAsia"/>
              </w:rPr>
              <w:t>因此向招标人</w:t>
            </w:r>
            <w:r>
              <w:t>要求增加费用</w:t>
            </w:r>
            <w:r>
              <w:rPr>
                <w:rFonts w:hint="eastAsia"/>
              </w:rPr>
              <w:t xml:space="preserve">。 </w:t>
            </w:r>
            <w:r>
              <w:rPr>
                <w:rFonts w:hint="eastAsia"/>
              </w:rPr>
              <w:br w:type="textWrapping"/>
            </w:r>
            <w:r>
              <w:rPr>
                <w:rFonts w:hint="eastAsia"/>
              </w:rPr>
              <w:t>2、如因投标人的原因(除不可抗拒因素外)更换上述主要人员，须报请招标人批准，更换人员的资质不能低于招标文件要求，自行更换</w:t>
            </w:r>
            <w:r>
              <w:rPr>
                <w:rFonts w:hint="eastAsia"/>
                <w:lang w:val="en-US" w:eastAsia="zh-CN"/>
              </w:rPr>
              <w:t>项目、技术负责人</w:t>
            </w:r>
            <w:r>
              <w:rPr>
                <w:rFonts w:hint="eastAsia"/>
              </w:rPr>
              <w:t>的，对投标人按每人次课以50万元人民币违约金。</w:t>
            </w:r>
            <w:r>
              <w:rPr>
                <w:rFonts w:hint="eastAsia"/>
              </w:rPr>
              <w:br w:type="textWrapping"/>
            </w:r>
            <w:r>
              <w:rPr>
                <w:rFonts w:hint="eastAsia"/>
              </w:rPr>
              <w:t>3、相关管理人员及技术人员必须在岗，有特殊情况离岗必须向项目部请假并得到批准。</w:t>
            </w:r>
          </w:p>
          <w:p>
            <w:pPr>
              <w:pStyle w:val="2"/>
              <w:ind w:left="0" w:leftChars="0" w:firstLine="0" w:firstLineChars="0"/>
              <w:rPr>
                <w:rFonts w:hint="eastAsia" w:eastAsia="仿宋"/>
                <w:lang w:val="en-US" w:eastAsia="zh-CN"/>
              </w:rPr>
            </w:pPr>
            <w:r>
              <w:rPr>
                <w:rFonts w:hint="eastAsia" w:ascii="宋体" w:hAnsi="宋体" w:cs="宋体"/>
                <w:kern w:val="0"/>
                <w:sz w:val="18"/>
                <w:szCs w:val="18"/>
                <w:lang w:val="en-US" w:eastAsia="zh-CN" w:bidi="ar"/>
              </w:rPr>
              <w:t>4、</w:t>
            </w:r>
            <w:r>
              <w:rPr>
                <w:rFonts w:hint="eastAsia" w:ascii="Times New Roman" w:hAnsi="Times New Roman" w:eastAsia="宋体" w:cs="Times New Roman"/>
                <w:kern w:val="2"/>
                <w:sz w:val="21"/>
                <w:szCs w:val="22"/>
                <w:lang w:val="en-US" w:eastAsia="zh-CN" w:bidi="ar-SA"/>
              </w:rPr>
              <w:t>招标人有权要求中标人更换不称职的人员，其更换必须征得招标人书面同意。</w:t>
            </w:r>
          </w:p>
        </w:tc>
      </w:tr>
    </w:tbl>
    <w:p>
      <w:pPr>
        <w:pStyle w:val="2"/>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textAlignment w:val="center"/>
        <w:rPr>
          <w:rFonts w:ascii="宋体" w:hAnsi="宋体" w:cs="宋体"/>
          <w:b/>
          <w:kern w:val="0"/>
          <w:sz w:val="28"/>
          <w:szCs w:val="28"/>
          <w:highlight w:val="none"/>
          <w:lang w:bidi="ar"/>
        </w:rPr>
      </w:pPr>
      <w:r>
        <w:rPr>
          <w:rFonts w:hint="eastAsia" w:ascii="宋体" w:hAnsi="宋体" w:cs="宋体"/>
          <w:b/>
          <w:kern w:val="0"/>
          <w:sz w:val="28"/>
          <w:szCs w:val="28"/>
          <w:lang w:bidi="ar"/>
        </w:rPr>
        <w:t>附表三：</w:t>
      </w:r>
    </w:p>
    <w:p>
      <w:pPr>
        <w:widowControl/>
        <w:jc w:val="center"/>
        <w:textAlignment w:val="center"/>
        <w:rPr>
          <w:rFonts w:ascii="宋体" w:hAnsi="宋体" w:cs="宋体"/>
          <w:b/>
          <w:kern w:val="0"/>
          <w:sz w:val="24"/>
          <w:szCs w:val="24"/>
          <w:highlight w:val="none"/>
          <w:lang w:bidi="ar"/>
        </w:rPr>
      </w:pPr>
      <w:r>
        <w:rPr>
          <w:rFonts w:hint="eastAsia" w:ascii="宋体" w:hAnsi="宋体" w:cs="宋体"/>
          <w:b/>
          <w:kern w:val="0"/>
          <w:sz w:val="24"/>
          <w:szCs w:val="24"/>
          <w:highlight w:val="none"/>
          <w:lang w:bidi="ar"/>
        </w:rPr>
        <w:t>成都至乐山高速公路扩容建设项目E2-SG</w:t>
      </w:r>
      <w:r>
        <w:rPr>
          <w:rFonts w:hint="eastAsia" w:ascii="宋体" w:hAnsi="宋体" w:cs="宋体"/>
          <w:b/>
          <w:kern w:val="0"/>
          <w:sz w:val="24"/>
          <w:szCs w:val="24"/>
          <w:highlight w:val="none"/>
          <w:lang w:val="en-US" w:eastAsia="zh-CN" w:bidi="ar"/>
        </w:rPr>
        <w:t>2</w:t>
      </w:r>
      <w:r>
        <w:rPr>
          <w:rFonts w:hint="eastAsia" w:ascii="宋体" w:hAnsi="宋体" w:cs="宋体"/>
          <w:b/>
          <w:kern w:val="0"/>
          <w:sz w:val="24"/>
          <w:szCs w:val="24"/>
          <w:highlight w:val="none"/>
          <w:lang w:bidi="ar"/>
        </w:rPr>
        <w:t>标路面工程</w:t>
      </w:r>
    </w:p>
    <w:p>
      <w:pPr>
        <w:widowControl/>
        <w:jc w:val="center"/>
        <w:textAlignment w:val="center"/>
        <w:rPr>
          <w:rFonts w:hint="eastAsia" w:ascii="宋体" w:hAnsi="宋体" w:cs="宋体"/>
          <w:b/>
          <w:kern w:val="0"/>
          <w:sz w:val="24"/>
          <w:szCs w:val="24"/>
          <w:highlight w:val="none"/>
          <w:lang w:bidi="ar"/>
        </w:rPr>
      </w:pPr>
      <w:r>
        <w:rPr>
          <w:rFonts w:hint="eastAsia" w:ascii="宋体" w:hAnsi="宋体" w:cs="宋体"/>
          <w:b/>
          <w:kern w:val="0"/>
          <w:sz w:val="24"/>
          <w:szCs w:val="24"/>
          <w:highlight w:val="none"/>
          <w:lang w:bidi="ar"/>
        </w:rPr>
        <w:t>拟投入设备要求一览表（投标最低要求）</w:t>
      </w:r>
    </w:p>
    <w:p>
      <w:pPr>
        <w:pStyle w:val="2"/>
        <w:ind w:firstLine="0"/>
        <w:jc w:val="center"/>
        <w:rPr>
          <w:highlight w:val="none"/>
        </w:rPr>
      </w:pPr>
      <w:r>
        <w:rPr>
          <w:rFonts w:hint="eastAsia" w:ascii="宋体" w:hAnsi="宋体" w:cs="宋体"/>
          <w:b/>
          <w:sz w:val="24"/>
          <w:szCs w:val="24"/>
          <w:highlight w:val="none"/>
          <w:lang w:bidi="ar"/>
        </w:rPr>
        <w:t>（E2</w:t>
      </w:r>
      <w:r>
        <w:rPr>
          <w:rFonts w:ascii="宋体" w:hAnsi="宋体" w:cs="宋体"/>
          <w:b/>
          <w:sz w:val="24"/>
          <w:szCs w:val="24"/>
          <w:highlight w:val="none"/>
          <w:lang w:bidi="ar"/>
        </w:rPr>
        <w:t>-</w:t>
      </w:r>
      <w:r>
        <w:rPr>
          <w:rFonts w:hint="eastAsia" w:ascii="宋体" w:hAnsi="宋体" w:cs="宋体"/>
          <w:b/>
          <w:sz w:val="24"/>
          <w:szCs w:val="24"/>
          <w:highlight w:val="none"/>
          <w:lang w:bidi="ar"/>
        </w:rPr>
        <w:t>SG</w:t>
      </w:r>
      <w:r>
        <w:rPr>
          <w:rFonts w:hint="eastAsia" w:ascii="宋体" w:hAnsi="宋体" w:cs="宋体"/>
          <w:b/>
          <w:sz w:val="24"/>
          <w:szCs w:val="24"/>
          <w:highlight w:val="none"/>
          <w:lang w:val="en-US" w:eastAsia="zh-CN" w:bidi="ar"/>
        </w:rPr>
        <w:t>2</w:t>
      </w:r>
      <w:r>
        <w:rPr>
          <w:rFonts w:ascii="宋体" w:hAnsi="宋体" w:cs="宋体"/>
          <w:b/>
          <w:sz w:val="24"/>
          <w:szCs w:val="24"/>
          <w:highlight w:val="none"/>
          <w:lang w:bidi="ar"/>
        </w:rPr>
        <w:t>-</w:t>
      </w:r>
      <w:r>
        <w:rPr>
          <w:rFonts w:hint="eastAsia" w:ascii="宋体" w:hAnsi="宋体" w:cs="宋体"/>
          <w:b/>
          <w:sz w:val="24"/>
          <w:szCs w:val="24"/>
          <w:highlight w:val="none"/>
          <w:lang w:bidi="ar"/>
        </w:rPr>
        <w:t>LM</w:t>
      </w:r>
      <w:r>
        <w:rPr>
          <w:rFonts w:hint="eastAsia" w:ascii="宋体" w:hAnsi="宋体" w:eastAsia="宋体" w:cs="宋体"/>
          <w:b/>
          <w:kern w:val="0"/>
          <w:sz w:val="24"/>
          <w:szCs w:val="24"/>
          <w:highlight w:val="none"/>
          <w:lang w:val="en-US" w:eastAsia="zh-CN" w:bidi="ar"/>
        </w:rPr>
        <w:t>标段水稳施工适用</w:t>
      </w:r>
      <w:r>
        <w:rPr>
          <w:rFonts w:hint="eastAsia" w:ascii="宋体" w:hAnsi="宋体" w:cs="宋体"/>
          <w:b/>
          <w:sz w:val="24"/>
          <w:szCs w:val="24"/>
          <w:highlight w:val="none"/>
          <w:lang w:bidi="ar"/>
        </w:rPr>
        <w:t>）</w:t>
      </w:r>
    </w:p>
    <w:tbl>
      <w:tblPr>
        <w:tblStyle w:val="6"/>
        <w:tblW w:w="9322" w:type="dxa"/>
        <w:tblInd w:w="0" w:type="dxa"/>
        <w:tblLayout w:type="fixed"/>
        <w:tblCellMar>
          <w:top w:w="0" w:type="dxa"/>
          <w:left w:w="108" w:type="dxa"/>
          <w:bottom w:w="0" w:type="dxa"/>
          <w:right w:w="108" w:type="dxa"/>
        </w:tblCellMar>
      </w:tblPr>
      <w:tblGrid>
        <w:gridCol w:w="719"/>
        <w:gridCol w:w="1684"/>
        <w:gridCol w:w="1107"/>
        <w:gridCol w:w="770"/>
        <w:gridCol w:w="956"/>
        <w:gridCol w:w="869"/>
        <w:gridCol w:w="1134"/>
        <w:gridCol w:w="816"/>
        <w:gridCol w:w="1267"/>
      </w:tblGrid>
      <w:tr>
        <w:tblPrEx>
          <w:tblLayout w:type="fixed"/>
          <w:tblCellMar>
            <w:top w:w="0" w:type="dxa"/>
            <w:left w:w="108" w:type="dxa"/>
            <w:bottom w:w="0" w:type="dxa"/>
            <w:right w:w="108" w:type="dxa"/>
          </w:tblCellMar>
        </w:tblPrEx>
        <w:tc>
          <w:tcPr>
            <w:tcW w:w="719"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szCs w:val="21"/>
                <w:highlight w:val="none"/>
              </w:rPr>
            </w:pPr>
            <w:r>
              <w:rPr>
                <w:rFonts w:hint="eastAsia"/>
                <w:szCs w:val="21"/>
                <w:highlight w:val="none"/>
              </w:rPr>
              <w:t>序号</w:t>
            </w:r>
          </w:p>
        </w:tc>
        <w:tc>
          <w:tcPr>
            <w:tcW w:w="1684"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szCs w:val="21"/>
                <w:highlight w:val="none"/>
              </w:rPr>
            </w:pPr>
            <w:r>
              <w:rPr>
                <w:rFonts w:hint="eastAsia"/>
                <w:szCs w:val="21"/>
                <w:highlight w:val="none"/>
              </w:rPr>
              <w:t>机械设备名称</w:t>
            </w:r>
          </w:p>
        </w:tc>
        <w:tc>
          <w:tcPr>
            <w:tcW w:w="1107" w:type="dxa"/>
            <w:vMerge w:val="restart"/>
            <w:tcBorders>
              <w:top w:val="single" w:color="000000" w:sz="4" w:space="0"/>
              <w:left w:val="single" w:color="000000" w:sz="4" w:space="0"/>
              <w:right w:val="single" w:color="000000" w:sz="4" w:space="0"/>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规格、型号</w:t>
            </w:r>
          </w:p>
        </w:tc>
        <w:tc>
          <w:tcPr>
            <w:tcW w:w="770" w:type="dxa"/>
            <w:vMerge w:val="restart"/>
            <w:tcBorders>
              <w:top w:val="single" w:color="000000" w:sz="4" w:space="0"/>
              <w:left w:val="single" w:color="000000" w:sz="4" w:space="0"/>
              <w:right w:val="single" w:color="000000" w:sz="4" w:space="0"/>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单位</w:t>
            </w:r>
          </w:p>
        </w:tc>
        <w:tc>
          <w:tcPr>
            <w:tcW w:w="1825" w:type="dxa"/>
            <w:gridSpan w:val="2"/>
            <w:tcBorders>
              <w:top w:val="single" w:color="000000" w:sz="4" w:space="0"/>
              <w:left w:val="single" w:color="000000" w:sz="4" w:space="0"/>
              <w:bottom w:val="single" w:color="000000" w:sz="4" w:space="0"/>
              <w:right w:val="single" w:color="000000" w:sz="4" w:space="0"/>
            </w:tcBorders>
            <w:vAlign w:val="center"/>
          </w:tcPr>
          <w:p>
            <w:pPr>
              <w:pStyle w:val="7"/>
              <w:spacing w:line="260" w:lineRule="exact"/>
              <w:ind w:firstLine="210" w:firstLineChars="100"/>
              <w:jc w:val="center"/>
              <w:rPr>
                <w:rFonts w:hint="eastAsia"/>
                <w:bCs/>
                <w:szCs w:val="21"/>
                <w:highlight w:val="none"/>
                <w:lang w:val="en-US" w:bidi="ar-SA"/>
              </w:rPr>
            </w:pPr>
            <w:r>
              <w:rPr>
                <w:rFonts w:hint="eastAsia"/>
                <w:szCs w:val="21"/>
                <w:highlight w:val="none"/>
                <w:lang w:val="en-US" w:bidi="ar-SA"/>
              </w:rPr>
              <w:t>基本要求</w:t>
            </w:r>
          </w:p>
        </w:tc>
        <w:tc>
          <w:tcPr>
            <w:tcW w:w="1134" w:type="dxa"/>
            <w:vMerge w:val="restart"/>
            <w:tcBorders>
              <w:top w:val="single" w:color="000000" w:sz="4" w:space="0"/>
              <w:left w:val="single" w:color="000000" w:sz="4" w:space="0"/>
              <w:right w:val="single" w:color="000000" w:sz="4" w:space="0"/>
            </w:tcBorders>
            <w:vAlign w:val="center"/>
          </w:tcPr>
          <w:p>
            <w:pPr>
              <w:kinsoku w:val="0"/>
              <w:overflowPunct w:val="0"/>
              <w:spacing w:line="260" w:lineRule="exact"/>
              <w:jc w:val="center"/>
              <w:rPr>
                <w:rFonts w:hint="eastAsia" w:cs="宋体"/>
                <w:szCs w:val="21"/>
                <w:highlight w:val="none"/>
              </w:rPr>
            </w:pPr>
            <w:r>
              <w:rPr>
                <w:rFonts w:hint="eastAsia" w:ascii="宋体" w:hAnsi="宋体" w:cs="宋体"/>
                <w:highlight w:val="none"/>
              </w:rPr>
              <w:t>每增加一台自有设备加分值</w:t>
            </w:r>
          </w:p>
        </w:tc>
        <w:tc>
          <w:tcPr>
            <w:tcW w:w="816"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szCs w:val="21"/>
                <w:highlight w:val="none"/>
                <w:lang w:val="en-US" w:bidi="ar-SA"/>
              </w:rPr>
            </w:pPr>
            <w:r>
              <w:rPr>
                <w:rFonts w:hint="eastAsia"/>
                <w:szCs w:val="21"/>
                <w:highlight w:val="none"/>
                <w:lang w:val="en-US" w:bidi="ar-SA"/>
              </w:rPr>
              <w:t>加分上限</w:t>
            </w:r>
          </w:p>
        </w:tc>
        <w:tc>
          <w:tcPr>
            <w:tcW w:w="1267" w:type="dxa"/>
            <w:vMerge w:val="restart"/>
            <w:tcBorders>
              <w:top w:val="single" w:color="000000" w:sz="4" w:space="0"/>
              <w:left w:val="single" w:color="000000" w:sz="4" w:space="0"/>
              <w:right w:val="single" w:color="000000" w:sz="4" w:space="0"/>
            </w:tcBorders>
            <w:vAlign w:val="center"/>
          </w:tcPr>
          <w:p>
            <w:pPr>
              <w:pStyle w:val="7"/>
              <w:kinsoku w:val="0"/>
              <w:overflowPunct w:val="0"/>
              <w:spacing w:line="260" w:lineRule="exact"/>
              <w:jc w:val="center"/>
              <w:rPr>
                <w:rFonts w:hint="eastAsia"/>
                <w:szCs w:val="21"/>
                <w:highlight w:val="none"/>
                <w:lang w:val="en-US" w:bidi="ar-SA"/>
              </w:rPr>
            </w:pPr>
            <w:r>
              <w:rPr>
                <w:rFonts w:hint="eastAsia"/>
                <w:szCs w:val="21"/>
                <w:highlight w:val="none"/>
                <w:lang w:val="en-US" w:bidi="ar-SA"/>
              </w:rPr>
              <w:t>备注</w:t>
            </w:r>
          </w:p>
        </w:tc>
      </w:tr>
      <w:tr>
        <w:tblPrEx>
          <w:tblLayout w:type="fixed"/>
          <w:tblCellMar>
            <w:top w:w="0" w:type="dxa"/>
            <w:left w:w="108" w:type="dxa"/>
            <w:bottom w:w="0" w:type="dxa"/>
            <w:right w:w="108" w:type="dxa"/>
          </w:tblCellMar>
        </w:tblPrEx>
        <w:tc>
          <w:tcPr>
            <w:tcW w:w="719" w:type="dxa"/>
            <w:vMerge w:val="continue"/>
            <w:tcBorders>
              <w:left w:val="single" w:color="000000" w:sz="4" w:space="0"/>
              <w:bottom w:val="single" w:color="000000" w:sz="4" w:space="0"/>
              <w:right w:val="single" w:color="000000" w:sz="4" w:space="0"/>
            </w:tcBorders>
            <w:vAlign w:val="center"/>
          </w:tcPr>
          <w:p>
            <w:pPr>
              <w:spacing w:line="440" w:lineRule="exact"/>
              <w:jc w:val="center"/>
              <w:rPr>
                <w:szCs w:val="21"/>
                <w:highlight w:val="none"/>
              </w:rPr>
            </w:pPr>
          </w:p>
        </w:tc>
        <w:tc>
          <w:tcPr>
            <w:tcW w:w="1684" w:type="dxa"/>
            <w:vMerge w:val="continue"/>
            <w:tcBorders>
              <w:left w:val="single" w:color="000000" w:sz="4" w:space="0"/>
              <w:bottom w:val="single" w:color="000000" w:sz="4" w:space="0"/>
              <w:right w:val="single" w:color="000000" w:sz="4" w:space="0"/>
            </w:tcBorders>
            <w:vAlign w:val="center"/>
          </w:tcPr>
          <w:p>
            <w:pPr>
              <w:spacing w:line="440" w:lineRule="exact"/>
              <w:jc w:val="center"/>
              <w:rPr>
                <w:szCs w:val="21"/>
                <w:highlight w:val="none"/>
              </w:rPr>
            </w:pPr>
          </w:p>
        </w:tc>
        <w:tc>
          <w:tcPr>
            <w:tcW w:w="1107" w:type="dxa"/>
            <w:vMerge w:val="continue"/>
            <w:tcBorders>
              <w:left w:val="single" w:color="000000" w:sz="4" w:space="0"/>
              <w:bottom w:val="single" w:color="000000" w:sz="4" w:space="0"/>
              <w:right w:val="single" w:color="000000" w:sz="4" w:space="0"/>
            </w:tcBorders>
            <w:vAlign w:val="center"/>
          </w:tcPr>
          <w:p>
            <w:pPr>
              <w:spacing w:line="440" w:lineRule="exact"/>
              <w:jc w:val="center"/>
              <w:rPr>
                <w:szCs w:val="21"/>
                <w:highlight w:val="none"/>
              </w:rPr>
            </w:pPr>
          </w:p>
        </w:tc>
        <w:tc>
          <w:tcPr>
            <w:tcW w:w="770" w:type="dxa"/>
            <w:vMerge w:val="continue"/>
            <w:tcBorders>
              <w:left w:val="single" w:color="000000" w:sz="4" w:space="0"/>
              <w:bottom w:val="single" w:color="000000" w:sz="4" w:space="0"/>
              <w:right w:val="single" w:color="000000" w:sz="4" w:space="0"/>
            </w:tcBorders>
            <w:vAlign w:val="center"/>
          </w:tcPr>
          <w:p>
            <w:pPr>
              <w:spacing w:line="440" w:lineRule="exact"/>
              <w:jc w:val="center"/>
              <w:rPr>
                <w:szCs w:val="21"/>
                <w:highlight w:val="none"/>
              </w:rPr>
            </w:pP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7"/>
              <w:spacing w:line="260" w:lineRule="exact"/>
              <w:jc w:val="center"/>
              <w:rPr>
                <w:rFonts w:hint="eastAsia"/>
                <w:bCs/>
                <w:szCs w:val="21"/>
                <w:highlight w:val="none"/>
                <w:lang w:val="en-US" w:bidi="ar-SA"/>
              </w:rPr>
            </w:pPr>
            <w:r>
              <w:rPr>
                <w:rFonts w:hint="eastAsia"/>
                <w:szCs w:val="21"/>
                <w:highlight w:val="none"/>
                <w:lang w:val="en-US" w:bidi="ar-SA"/>
              </w:rPr>
              <w:t>总数量</w:t>
            </w:r>
          </w:p>
        </w:tc>
        <w:tc>
          <w:tcPr>
            <w:tcW w:w="869" w:type="dxa"/>
            <w:tcBorders>
              <w:left w:val="single" w:color="000000" w:sz="4" w:space="0"/>
              <w:bottom w:val="single" w:color="000000" w:sz="4" w:space="0"/>
              <w:right w:val="single" w:color="000000" w:sz="4" w:space="0"/>
            </w:tcBorders>
            <w:vAlign w:val="center"/>
          </w:tcPr>
          <w:p>
            <w:pPr>
              <w:pStyle w:val="7"/>
              <w:spacing w:line="260" w:lineRule="exact"/>
              <w:jc w:val="center"/>
              <w:rPr>
                <w:rFonts w:hint="eastAsia"/>
                <w:bCs/>
                <w:szCs w:val="21"/>
                <w:highlight w:val="none"/>
                <w:lang w:val="en-US" w:bidi="ar-SA"/>
              </w:rPr>
            </w:pPr>
            <w:r>
              <w:rPr>
                <w:rFonts w:hint="eastAsia"/>
                <w:szCs w:val="21"/>
                <w:highlight w:val="none"/>
                <w:lang w:val="en-US" w:bidi="ar-SA"/>
              </w:rPr>
              <w:t>自有设备</w:t>
            </w:r>
          </w:p>
        </w:tc>
        <w:tc>
          <w:tcPr>
            <w:tcW w:w="1134"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szCs w:val="21"/>
                <w:highlight w:val="none"/>
              </w:rPr>
            </w:pPr>
          </w:p>
        </w:tc>
        <w:tc>
          <w:tcPr>
            <w:tcW w:w="816"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szCs w:val="21"/>
                <w:highlight w:val="none"/>
              </w:rPr>
            </w:pPr>
          </w:p>
        </w:tc>
        <w:tc>
          <w:tcPr>
            <w:tcW w:w="1267" w:type="dxa"/>
            <w:vMerge w:val="continue"/>
            <w:tcBorders>
              <w:left w:val="single" w:color="000000" w:sz="4" w:space="0"/>
              <w:bottom w:val="single" w:color="auto" w:sz="4" w:space="0"/>
              <w:right w:val="single" w:color="000000" w:sz="4" w:space="0"/>
            </w:tcBorders>
            <w:vAlign w:val="center"/>
          </w:tcPr>
          <w:p>
            <w:pPr>
              <w:spacing w:line="440" w:lineRule="exact"/>
              <w:jc w:val="center"/>
              <w:rPr>
                <w:rFonts w:hint="eastAsia" w:ascii="宋体" w:hAnsi="宋体" w:cs="宋体"/>
                <w:bCs/>
                <w:szCs w:val="21"/>
                <w:highlight w:val="none"/>
              </w:rPr>
            </w:pPr>
          </w:p>
        </w:tc>
      </w:tr>
      <w:tr>
        <w:tblPrEx>
          <w:tblLayout w:type="fixed"/>
          <w:tblCellMar>
            <w:top w:w="0" w:type="dxa"/>
            <w:left w:w="108" w:type="dxa"/>
            <w:bottom w:w="0" w:type="dxa"/>
            <w:right w:w="108" w:type="dxa"/>
          </w:tblCellMar>
        </w:tblPrEx>
        <w:trPr>
          <w:trHeight w:val="479"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1</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装载机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5</w:t>
            </w:r>
            <w:r>
              <w:rPr>
                <w:rFonts w:ascii="宋体" w:hAnsi="宋体" w:cs="宋体"/>
                <w:kern w:val="0"/>
                <w:sz w:val="18"/>
                <w:szCs w:val="18"/>
                <w:highlight w:val="none"/>
                <w:lang w:bidi="ar"/>
              </w:rPr>
              <w:t>0</w:t>
            </w:r>
            <w:r>
              <w:rPr>
                <w:rFonts w:hint="eastAsia" w:ascii="宋体" w:hAnsi="宋体" w:cs="宋体"/>
                <w:kern w:val="0"/>
                <w:sz w:val="18"/>
                <w:szCs w:val="18"/>
                <w:highlight w:val="none"/>
                <w:lang w:bidi="ar"/>
              </w:rPr>
              <w:t>型</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6</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冷拌合站及摊铺作业点</w:t>
            </w: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2</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摊铺机（水稳）</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3</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1</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1</w:t>
            </w: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主要设备</w:t>
            </w: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双钢轮压路机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r>
              <w:rPr>
                <w:rFonts w:ascii="宋体" w:hAnsi="宋体" w:cs="宋体"/>
                <w:kern w:val="0"/>
                <w:sz w:val="18"/>
                <w:szCs w:val="18"/>
                <w:highlight w:val="none"/>
                <w:lang w:bidi="ar"/>
              </w:rPr>
              <w:t>12t</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4</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0</w:t>
            </w:r>
            <w:r>
              <w:rPr>
                <w:rFonts w:ascii="宋体" w:hAnsi="宋体" w:cs="宋体"/>
                <w:kern w:val="0"/>
                <w:sz w:val="18"/>
                <w:szCs w:val="18"/>
                <w:highlight w:val="none"/>
                <w:lang w:bidi="ar"/>
              </w:rPr>
              <w:t>.5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1</w:t>
            </w: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主要设备</w:t>
            </w: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单钢轮压路机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2</w:t>
            </w:r>
            <w:r>
              <w:rPr>
                <w:rFonts w:ascii="宋体" w:hAnsi="宋体" w:cs="宋体"/>
                <w:kern w:val="0"/>
                <w:sz w:val="18"/>
                <w:szCs w:val="18"/>
                <w:highlight w:val="none"/>
                <w:lang w:bidi="ar"/>
              </w:rPr>
              <w:t>6t</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6</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0</w:t>
            </w:r>
            <w:r>
              <w:rPr>
                <w:rFonts w:ascii="宋体" w:hAnsi="宋体" w:cs="宋体"/>
                <w:kern w:val="0"/>
                <w:sz w:val="18"/>
                <w:szCs w:val="18"/>
                <w:highlight w:val="none"/>
                <w:lang w:bidi="ar"/>
              </w:rPr>
              <w:t>.5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主要设备</w:t>
            </w: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胶轮</w:t>
            </w:r>
            <w:r>
              <w:rPr>
                <w:rFonts w:ascii="宋体" w:hAnsi="宋体" w:cs="宋体"/>
                <w:kern w:val="0"/>
                <w:sz w:val="18"/>
                <w:szCs w:val="18"/>
                <w:highlight w:val="none"/>
                <w:lang w:bidi="ar"/>
              </w:rPr>
              <w:t>压路机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r>
              <w:rPr>
                <w:rFonts w:ascii="宋体" w:hAnsi="宋体" w:cs="宋体"/>
                <w:kern w:val="0"/>
                <w:sz w:val="18"/>
                <w:szCs w:val="18"/>
                <w:highlight w:val="none"/>
                <w:lang w:bidi="ar"/>
              </w:rPr>
              <w:t>26t</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4</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0</w:t>
            </w:r>
            <w:r>
              <w:rPr>
                <w:rFonts w:ascii="宋体" w:hAnsi="宋体" w:cs="宋体"/>
                <w:kern w:val="0"/>
                <w:sz w:val="18"/>
                <w:szCs w:val="18"/>
                <w:highlight w:val="none"/>
                <w:lang w:bidi="ar"/>
              </w:rPr>
              <w:t>.5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1</w:t>
            </w: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主要设备</w:t>
            </w: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双钢轮压路机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r>
              <w:rPr>
                <w:rFonts w:ascii="宋体" w:hAnsi="宋体" w:cs="宋体"/>
                <w:kern w:val="0"/>
                <w:sz w:val="18"/>
                <w:szCs w:val="18"/>
                <w:highlight w:val="none"/>
                <w:lang w:bidi="ar"/>
              </w:rPr>
              <w:t>t</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3</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rPr>
          <w:trHeight w:val="103"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洒水车</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3</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平地机</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3</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强力</w:t>
            </w:r>
            <w:r>
              <w:rPr>
                <w:rFonts w:ascii="宋体" w:hAnsi="宋体" w:cs="宋体"/>
                <w:kern w:val="0"/>
                <w:sz w:val="18"/>
                <w:szCs w:val="18"/>
                <w:highlight w:val="none"/>
                <w:lang w:bidi="ar"/>
              </w:rPr>
              <w:t>清扫车</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3</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柴油发电机</w:t>
            </w:r>
            <w:r>
              <w:rPr>
                <w:rFonts w:ascii="宋体" w:hAnsi="宋体" w:cs="宋体"/>
                <w:kern w:val="0"/>
                <w:sz w:val="18"/>
                <w:szCs w:val="18"/>
                <w:highlight w:val="none"/>
                <w:lang w:bidi="ar"/>
              </w:rPr>
              <w:t>组</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2</w:t>
            </w:r>
            <w:r>
              <w:rPr>
                <w:rFonts w:ascii="宋体" w:hAnsi="宋体" w:cs="宋体"/>
                <w:kern w:val="0"/>
                <w:sz w:val="18"/>
                <w:szCs w:val="18"/>
                <w:highlight w:val="none"/>
                <w:lang w:bidi="ar"/>
              </w:rPr>
              <w:t>00KW以上</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台</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val="en-US" w:eastAsia="zh-CN" w:bidi="ar"/>
              </w:rPr>
              <w:t>2</w:t>
            </w:r>
          </w:p>
        </w:tc>
        <w:tc>
          <w:tcPr>
            <w:tcW w:w="86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18"/>
                <w:szCs w:val="18"/>
                <w:highlight w:val="none"/>
                <w:lang w:bidi="ar"/>
              </w:rPr>
            </w:pPr>
          </w:p>
        </w:tc>
        <w:tc>
          <w:tcPr>
            <w:tcW w:w="1267"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冷拌合站</w:t>
            </w:r>
            <w:r>
              <w:rPr>
                <w:rFonts w:ascii="宋体" w:hAnsi="宋体" w:cs="宋体"/>
                <w:sz w:val="18"/>
                <w:szCs w:val="18"/>
                <w:highlight w:val="none"/>
              </w:rPr>
              <w:t>内</w:t>
            </w:r>
          </w:p>
        </w:tc>
      </w:tr>
    </w:tbl>
    <w:p>
      <w:pPr>
        <w:pStyle w:val="2"/>
        <w:rPr>
          <w:highlight w:val="none"/>
        </w:rPr>
      </w:pPr>
    </w:p>
    <w:p>
      <w:pPr>
        <w:widowControl/>
        <w:jc w:val="left"/>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r>
        <w:rPr>
          <w:rFonts w:ascii="宋体" w:hAnsi="宋体" w:cs="宋体"/>
          <w:kern w:val="0"/>
          <w:sz w:val="18"/>
          <w:szCs w:val="18"/>
          <w:highlight w:val="none"/>
          <w:lang w:bidi="ar"/>
        </w:rPr>
        <w:t>、</w:t>
      </w:r>
      <w:r>
        <w:rPr>
          <w:rFonts w:hint="eastAsia" w:ascii="宋体" w:hAnsi="宋体" w:cs="宋体"/>
          <w:kern w:val="0"/>
          <w:sz w:val="18"/>
          <w:szCs w:val="18"/>
          <w:highlight w:val="none"/>
          <w:lang w:bidi="ar"/>
        </w:rPr>
        <w:t>本表所列设备为</w:t>
      </w:r>
      <w:r>
        <w:rPr>
          <w:rFonts w:hint="eastAsia"/>
          <w:highlight w:val="none"/>
          <w:lang w:eastAsia="zh-CN"/>
        </w:rPr>
        <w:t>（</w:t>
      </w:r>
      <w:r>
        <w:rPr>
          <w:rFonts w:hint="eastAsia"/>
          <w:b/>
          <w:bCs/>
          <w:highlight w:val="none"/>
          <w:lang w:eastAsia="zh-CN"/>
        </w:rPr>
        <w:t>水稳</w:t>
      </w:r>
      <w:r>
        <w:rPr>
          <w:rFonts w:hint="eastAsia"/>
          <w:b/>
          <w:bCs/>
          <w:highlight w:val="none"/>
          <w:lang w:val="en-US" w:eastAsia="zh-CN"/>
        </w:rPr>
        <w:t>2个作业班组</w:t>
      </w:r>
      <w:r>
        <w:rPr>
          <w:rFonts w:hint="eastAsia"/>
          <w:highlight w:val="none"/>
          <w:lang w:eastAsia="zh-CN"/>
        </w:rPr>
        <w:t>）的</w:t>
      </w:r>
      <w:r>
        <w:rPr>
          <w:rFonts w:hint="eastAsia" w:ascii="宋体" w:hAnsi="宋体" w:cs="宋体"/>
          <w:kern w:val="0"/>
          <w:sz w:val="18"/>
          <w:szCs w:val="18"/>
          <w:highlight w:val="none"/>
          <w:lang w:bidi="ar"/>
        </w:rPr>
        <w:t>投标最低要求，投标人应根据施工需要或招标人的要求在此基础上增加设备</w:t>
      </w:r>
      <w:r>
        <w:rPr>
          <w:rFonts w:ascii="宋体" w:hAnsi="宋体" w:cs="宋体"/>
          <w:kern w:val="0"/>
          <w:sz w:val="18"/>
          <w:szCs w:val="18"/>
          <w:highlight w:val="none"/>
          <w:lang w:bidi="ar"/>
        </w:rPr>
        <w:t>数量</w:t>
      </w:r>
      <w:r>
        <w:rPr>
          <w:rFonts w:hint="eastAsia" w:ascii="宋体" w:hAnsi="宋体" w:cs="宋体"/>
          <w:kern w:val="0"/>
          <w:sz w:val="18"/>
          <w:szCs w:val="18"/>
          <w:highlight w:val="none"/>
          <w:lang w:bidi="ar"/>
        </w:rPr>
        <w:t>（不限于上表所列类型等）</w:t>
      </w:r>
      <w:r>
        <w:rPr>
          <w:rFonts w:ascii="宋体" w:hAnsi="宋体" w:cs="宋体"/>
          <w:kern w:val="0"/>
          <w:sz w:val="18"/>
          <w:szCs w:val="18"/>
          <w:highlight w:val="none"/>
          <w:lang w:bidi="ar"/>
        </w:rPr>
        <w:t>，且不得</w:t>
      </w:r>
      <w:r>
        <w:rPr>
          <w:rFonts w:hint="eastAsia" w:ascii="宋体" w:hAnsi="宋体" w:cs="宋体"/>
          <w:kern w:val="0"/>
          <w:sz w:val="18"/>
          <w:szCs w:val="18"/>
          <w:highlight w:val="none"/>
          <w:lang w:bidi="ar"/>
        </w:rPr>
        <w:t>因此向招标人</w:t>
      </w:r>
      <w:r>
        <w:rPr>
          <w:rFonts w:ascii="宋体" w:hAnsi="宋体" w:cs="宋体"/>
          <w:kern w:val="0"/>
          <w:sz w:val="18"/>
          <w:szCs w:val="18"/>
          <w:highlight w:val="none"/>
          <w:lang w:bidi="ar"/>
        </w:rPr>
        <w:t>要求增加费用。</w:t>
      </w:r>
    </w:p>
    <w:p>
      <w:pPr>
        <w:widowControl/>
        <w:jc w:val="left"/>
        <w:textAlignment w:val="center"/>
        <w:rPr>
          <w:rFonts w:hint="eastAsia" w:ascii="宋体" w:hAnsi="宋体" w:eastAsia="宋体" w:cs="宋体"/>
          <w:b/>
          <w:kern w:val="0"/>
          <w:sz w:val="18"/>
          <w:szCs w:val="18"/>
          <w:lang w:val="en-US" w:eastAsia="zh-CN" w:bidi="ar"/>
        </w:rPr>
      </w:pPr>
      <w:r>
        <w:rPr>
          <w:rFonts w:hint="eastAsia" w:ascii="宋体" w:hAnsi="宋体" w:cs="宋体"/>
          <w:kern w:val="0"/>
          <w:sz w:val="18"/>
          <w:szCs w:val="18"/>
          <w:highlight w:val="none"/>
          <w:lang w:bidi="ar"/>
        </w:rPr>
        <w:t>2、设备需具备施工能力且满足实际施工和招标人打造品质工程需要，表中</w:t>
      </w:r>
      <w:r>
        <w:rPr>
          <w:rFonts w:hint="eastAsia" w:ascii="宋体" w:hAnsi="宋体" w:cs="宋体"/>
          <w:kern w:val="0"/>
          <w:sz w:val="18"/>
          <w:szCs w:val="18"/>
          <w:lang w:bidi="ar"/>
        </w:rPr>
        <w:t>所列</w:t>
      </w:r>
      <w:r>
        <w:rPr>
          <w:rFonts w:hint="eastAsia" w:ascii="宋体" w:hAnsi="宋体" w:cs="宋体"/>
          <w:kern w:val="0"/>
          <w:sz w:val="18"/>
          <w:szCs w:val="18"/>
          <w:lang w:val="en-US" w:eastAsia="zh-CN" w:bidi="ar"/>
        </w:rPr>
        <w:t>主要设备出厂日期需在</w:t>
      </w:r>
      <w:r>
        <w:rPr>
          <w:rFonts w:hint="eastAsia" w:ascii="宋体" w:hAnsi="宋体" w:cs="宋体"/>
          <w:kern w:val="0"/>
          <w:sz w:val="18"/>
          <w:szCs w:val="18"/>
          <w:u w:val="single"/>
          <w:lang w:val="en-US" w:eastAsia="zh-CN" w:bidi="ar"/>
        </w:rPr>
        <w:t>2017年</w:t>
      </w:r>
      <w:r>
        <w:rPr>
          <w:rFonts w:hint="eastAsia" w:ascii="宋体" w:hAnsi="宋体" w:cs="宋体"/>
          <w:kern w:val="0"/>
          <w:sz w:val="18"/>
          <w:szCs w:val="18"/>
          <w:lang w:val="en-US" w:eastAsia="zh-CN" w:bidi="ar"/>
        </w:rPr>
        <w:t>之后，（</w:t>
      </w:r>
      <w:r>
        <w:rPr>
          <w:rFonts w:hint="eastAsia" w:ascii="宋体" w:hAnsi="宋体" w:cs="宋体"/>
          <w:b/>
          <w:kern w:val="0"/>
          <w:sz w:val="18"/>
          <w:szCs w:val="18"/>
          <w:lang w:bidi="ar"/>
        </w:rPr>
        <w:t>以购买发票或公证机关出具的公证书为准</w:t>
      </w:r>
      <w:r>
        <w:rPr>
          <w:rFonts w:hint="eastAsia" w:ascii="宋体" w:hAnsi="宋体" w:cs="宋体"/>
          <w:kern w:val="0"/>
          <w:sz w:val="18"/>
          <w:szCs w:val="18"/>
          <w:lang w:val="en-US" w:eastAsia="zh-CN" w:bidi="ar"/>
        </w:rPr>
        <w:t>），且能满足施工需求</w:t>
      </w:r>
      <w:r>
        <w:rPr>
          <w:rFonts w:hint="eastAsia" w:ascii="宋体" w:hAnsi="宋体" w:cs="宋体"/>
          <w:b/>
          <w:kern w:val="0"/>
          <w:sz w:val="18"/>
          <w:szCs w:val="18"/>
          <w:lang w:bidi="ar"/>
        </w:rPr>
        <w:t>。</w:t>
      </w:r>
      <w:r>
        <w:rPr>
          <w:rFonts w:hint="eastAsia" w:ascii="宋体" w:hAnsi="宋体" w:cs="宋体"/>
          <w:b/>
          <w:kern w:val="0"/>
          <w:sz w:val="18"/>
          <w:szCs w:val="18"/>
          <w:lang w:val="en-US" w:eastAsia="zh-CN" w:bidi="ar"/>
        </w:rPr>
        <w:t xml:space="preserve"> </w:t>
      </w:r>
    </w:p>
    <w:p>
      <w:pPr>
        <w:pStyle w:val="2"/>
      </w:pPr>
    </w:p>
    <w:p>
      <w:pPr>
        <w:pStyle w:val="2"/>
      </w:pPr>
    </w:p>
    <w:p>
      <w:pPr>
        <w:pStyle w:val="2"/>
      </w:pPr>
    </w:p>
    <w:p>
      <w:pPr>
        <w:pStyle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9DBA3"/>
    <w:multiLevelType w:val="singleLevel"/>
    <w:tmpl w:val="8ED9DBA3"/>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D76FB"/>
    <w:rsid w:val="550D76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spacing w:line="240" w:lineRule="auto"/>
      <w:ind w:firstLine="570" w:firstLineChars="0"/>
    </w:pPr>
    <w:rPr>
      <w:rFonts w:ascii="仿宋" w:hAnsi="仿宋" w:eastAsia="仿宋" w:cs="Times New Roman"/>
      <w:kern w:val="0"/>
      <w:sz w:val="20"/>
    </w:rPr>
  </w:style>
  <w:style w:type="paragraph" w:styleId="3">
    <w:name w:val="Body Text"/>
    <w:basedOn w:val="1"/>
    <w:qFormat/>
    <w:uiPriority w:val="0"/>
    <w:pPr>
      <w:spacing w:after="120"/>
    </w:pPr>
    <w:rPr>
      <w:rFonts w:ascii="Times New Roman" w:hAnsi="Times New Roman" w:eastAsia="微软雅黑" w:cs="Times New Roman"/>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7">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2020-12-25T01:54:00Z</dcterms:created>
  <dc:creator>123</dc:creator>
  <cp:lastModifiedBy>123</cp:lastModifiedBy>
  <dcterms:modified xsi:type="dcterms:W3CDTF">2020-12-25T01:55:15Z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